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893E5" w14:textId="77777777" w:rsidR="00F85C1E" w:rsidRDefault="00F85C1E" w:rsidP="00247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cs-CZ"/>
        </w:rPr>
        <w:drawing>
          <wp:inline distT="0" distB="0" distL="0" distR="0" wp14:anchorId="5CC4FDB6" wp14:editId="0C462941">
            <wp:extent cx="4152900" cy="1310599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Žákovská li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849" cy="131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EBFCF" w14:textId="77777777" w:rsidR="00247ECF" w:rsidRPr="001B1089" w:rsidRDefault="00247ECF" w:rsidP="00247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Všeobecná část</w:t>
      </w:r>
    </w:p>
    <w:p w14:paraId="0ED15FB7" w14:textId="4A9B10ED" w:rsidR="00247ECF" w:rsidRPr="001B1089" w:rsidRDefault="00A97FDB" w:rsidP="0029646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Žákovská liga (dále jen ŽL) je celostátní a celoroční soutěž pro kategorie staršího žactva, kterou řídí komise mládeže (KM) ve spolupráci se soutěžní komisí (SK</w:t>
      </w:r>
      <w:r w:rsidR="00516AF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ČSH) a komisí rozhodčích </w:t>
      </w:r>
      <w:r w:rsidR="0029646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a delegátů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(KR</w:t>
      </w:r>
      <w:r w:rsidR="0029646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ČSH).</w:t>
      </w:r>
    </w:p>
    <w:p w14:paraId="1151982B" w14:textId="77777777" w:rsidR="00247ECF" w:rsidRPr="001B1089" w:rsidRDefault="00247ECF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1.    Systém soutěže a nominace družstev soutěže starších žáků </w:t>
      </w:r>
    </w:p>
    <w:p w14:paraId="0247754E" w14:textId="25BBDD68" w:rsidR="00247ECF" w:rsidRPr="001B1089" w:rsidRDefault="00247ECF" w:rsidP="00247EC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Žákovskou ligu starších žáků hraje maximálně 25 družstev</w:t>
      </w:r>
      <w:r w:rsidR="00DD78F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složených pouze z chlapců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Každý krajský svaz házené má právo do soutěže nominovat 1 družstvo. Druhé družstvo má právo nominovat kraj, jehož družstvo v uplynulém ročníku této soutěže zvítězilo.  Zbylých 10 míst získají ta družstva, která obsadí postupová místa v turnajích kvalifikačního předkola. V případě neobsazení výše uvedené kvóty jednotlivými kraji, je způsob obs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azení takto uvolněných míst plně v kompetenci KM</w:t>
      </w:r>
      <w:r w:rsidR="00516AF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ČSH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0A6BCFFC" w14:textId="54E96681" w:rsidR="00247ECF" w:rsidRPr="001B1089" w:rsidRDefault="00247ECF" w:rsidP="00247EC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Kvalifikačních turnajů se mohou zúčastnit všechna družstva dané kategorie, která odehrála podzimní část krajské soutěže a nepostupují přímo do hlavní soutěže Žákovské ligy, a která podala včas a řádně přihlášku do soutěže (viz</w:t>
      </w:r>
      <w:r w:rsidR="00052ED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článek 4). Počet skupin v kvalifikaci, jejich obsazení a postupový klíč urč</w:t>
      </w:r>
      <w:r w:rsidR="007D073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uje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KM</w:t>
      </w:r>
      <w:r w:rsidR="00052ED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ČSH na základě podaných přihlášek do soutěže.</w:t>
      </w:r>
    </w:p>
    <w:p w14:paraId="6516B530" w14:textId="4639EE80" w:rsidR="00247ECF" w:rsidRPr="001B1089" w:rsidRDefault="00247ECF" w:rsidP="00247EC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Soutěže (včetně kvalifikace) se mohou zúčastnit </w:t>
      </w:r>
      <w:r w:rsidR="00DF1F9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nejvýše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2 družstva z</w:t>
      </w:r>
      <w:r w:rsidR="00B53FF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jednoho klubu za předpoklad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u, že nejpozději do 1</w:t>
      </w:r>
      <w:r w:rsidR="00B428B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7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8954C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11.</w:t>
      </w:r>
      <w:r w:rsidR="008954C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</w:t>
      </w:r>
      <w:r w:rsidR="007F395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B428B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052ED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dodají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81639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na adresu </w:t>
      </w:r>
      <w:hyperlink r:id="rId9" w:history="1">
        <w:r w:rsidR="00816398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4"/>
            <w:lang w:eastAsia="cs-CZ"/>
          </w:rPr>
          <w:t>oskera@handball.cz</w:t>
        </w:r>
      </w:hyperlink>
      <w:r w:rsidR="0081639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úplné seznamy hráčů</w:t>
      </w:r>
      <w:r w:rsidR="00EC7A8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obou družstev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EC7A8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H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ráči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jednoho družstva nemohou hrát za druhé družstvo stejného klubu. Toto pravidlo neplatí, pokud do</w:t>
      </w:r>
      <w:r w:rsidR="00B53FF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hlavní soutěže (1. – 6. kolo ŽL) postoupí pouze jedno družstvo klubu. Při účasti pouze jednoho družstva z klubu v hlavní soutěži mohou za toto družstvo nastoupit všichni hráči daného klubu, kteří splňují podmínky stanovené čl. 10 tohoto rozpisu.</w:t>
      </w:r>
    </w:p>
    <w:p w14:paraId="1B0E3795" w14:textId="5558366A" w:rsidR="00445C4A" w:rsidRDefault="00247ECF" w:rsidP="00640D6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Krajský svaz házené může do soutěže nominovat pouze družstva klubů v něm registrovaných.</w:t>
      </w:r>
    </w:p>
    <w:p w14:paraId="342C61B1" w14:textId="77777777" w:rsidR="00445C4A" w:rsidRDefault="00445C4A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br w:type="page"/>
      </w:r>
    </w:p>
    <w:p w14:paraId="0B77072E" w14:textId="77777777" w:rsidR="00247ECF" w:rsidRPr="001B1089" w:rsidRDefault="00247ECF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2.    Systém soutěže a nominace družstev soutěže starších žákyň</w:t>
      </w:r>
    </w:p>
    <w:p w14:paraId="705B1E17" w14:textId="7D69A81F" w:rsidR="00247ECF" w:rsidRPr="001B1089" w:rsidRDefault="00247ECF" w:rsidP="00247EC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Žákovskou ligu starších žákyň hraje maximálně 25 družstev</w:t>
      </w:r>
      <w:r w:rsidR="00DD78F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složených pouze z dívek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Každý krajský svaz házené má právo do soutěže nominovat 1</w:t>
      </w:r>
      <w:r w:rsidR="0081550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družstvo. Druhé družstvo má právo nominovat kraj, jehož družstvo v uplynulém ročníku této soutěže zvítězilo.  Zbylých 10 míst získají ta družstva, která obsadí postupová místa v turnajích kvalifikačního předkola. V případě neobsazení výše uvedené kvóty jednotlivými kraji, je způsob obsazení takto uvolněného místa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plně v kompetenci KM ČSH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729E42E7" w14:textId="3176FEB0" w:rsidR="00247ECF" w:rsidRPr="001B1089" w:rsidRDefault="00247ECF" w:rsidP="00247ECF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Kvalifikačních turnajů se mohou zúčastnit všechna družstva dané kategorie, která odehrála podzimní část krajské soutěže a nepostupují přímo do hlavní soutěže Žákovské ligy, a která podala včas a řádně přihlášku do</w:t>
      </w:r>
      <w:r w:rsidR="0070376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soutěže</w:t>
      </w:r>
      <w:r w:rsidR="00B53FF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(viz</w:t>
      </w:r>
      <w:r w:rsidR="004A1E5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článek 4). Počet skupin v kvalifikaci, jejich obsazení a postupový klíč urč</w:t>
      </w:r>
      <w:r w:rsidR="00E7608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uje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KM</w:t>
      </w:r>
      <w:r w:rsidR="004A1E5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ČSH na základě podaných přihlášek do soutěže.</w:t>
      </w:r>
    </w:p>
    <w:p w14:paraId="3C797D26" w14:textId="7B107B44" w:rsidR="00247ECF" w:rsidRPr="001B1089" w:rsidRDefault="00247ECF" w:rsidP="007037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Soutěže (včetně kvalifikace) se mohou zúčastnit </w:t>
      </w:r>
      <w:r w:rsidR="004A1E5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nejvýše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2 družstva z</w:t>
      </w:r>
      <w:r w:rsidR="0081550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jednoho klubu za předpoklad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u, že nejpozději do 1</w:t>
      </w:r>
      <w:r w:rsidR="0081550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0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8954C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11.</w:t>
      </w:r>
      <w:r w:rsidR="008954C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</w:t>
      </w:r>
      <w:r w:rsidR="007F395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81550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FA074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dodají</w:t>
      </w:r>
      <w:r w:rsidR="000C25E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na adresu </w:t>
      </w:r>
      <w:hyperlink r:id="rId10" w:history="1">
        <w:r w:rsidR="0070376D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4"/>
            <w:lang w:eastAsia="cs-CZ"/>
          </w:rPr>
          <w:t>oskera@handball.</w:t>
        </w:r>
        <w:r w:rsidR="0070376D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cs-CZ"/>
          </w:rPr>
          <w:t>cz</w:t>
        </w:r>
      </w:hyperlink>
      <w:r w:rsidR="0070376D" w:rsidRPr="001B1089">
        <w:rPr>
          <w:rStyle w:val="Hypertextovodkaz"/>
          <w:rFonts w:ascii="Times New Roman" w:eastAsia="Times New Roman" w:hAnsi="Times New Roman" w:cs="Times New Roman"/>
          <w:color w:val="auto"/>
          <w:sz w:val="28"/>
          <w:szCs w:val="24"/>
          <w:u w:val="none"/>
          <w:lang w:eastAsia="cs-CZ"/>
        </w:rPr>
        <w:t xml:space="preserve"> 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úplný seznam</w:t>
      </w:r>
      <w:r w:rsidR="00EC7A8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hráček</w:t>
      </w:r>
      <w:r w:rsidR="00EC7A8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obou družstev. H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ráčky jednoho družstva nemohou hrát za druhé družstvo stejného klubu. Toto pravidlo neplatí, pokud do hlavní soutěže (1</w:t>
      </w:r>
      <w:r w:rsidR="00764C1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764C1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6.</w:t>
      </w:r>
      <w:r w:rsidR="0081550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kolo ŽL) postoupí pouze jedno družstvo klubu. Při účasti pouze jednoho družstva z klubu v hlavní soutěži mohou za toto družstvo nastoupit všechny hráčky daného klubu, které splňují podmínky stanovené čl. 10</w:t>
      </w:r>
      <w:r w:rsidR="0070376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tohoto rozpisu.</w:t>
      </w:r>
    </w:p>
    <w:p w14:paraId="1DBAD773" w14:textId="4D3E49B2" w:rsidR="00247ECF" w:rsidRPr="001B1089" w:rsidRDefault="00247ECF" w:rsidP="00640D6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Krajský svaz házené může do soutěže nominovat pouze družstva klubů v něm registrovaných. </w:t>
      </w:r>
    </w:p>
    <w:p w14:paraId="23E80D1A" w14:textId="77777777" w:rsidR="00247ECF" w:rsidRPr="001B1089" w:rsidRDefault="00247ECF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3.    Úhrada nákladů a příspěvky</w:t>
      </w:r>
    </w:p>
    <w:p w14:paraId="184B6C60" w14:textId="77777777" w:rsidR="00247ECF" w:rsidRPr="001B1089" w:rsidRDefault="00247ECF" w:rsidP="00634322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Družstva startují na vlastní náklady.  </w:t>
      </w:r>
    </w:p>
    <w:p w14:paraId="20894EC2" w14:textId="4221440A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Kluby, které pořádají turnaj kvalifikace nebo 1. – 6. kola, jej pořádají na</w:t>
      </w:r>
      <w:r w:rsidR="00B53FF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vlastní náklady. Český svaz házené poskytuje pořadatelským klubům finanční </w:t>
      </w: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příspěvek na pořádání turnaje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ve výši 20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00 Kč/družstvo v turnaji. Pořádající klub není oprávněn vybírat od zúčastněných družstev žádné startovné ani příspěvky na</w:t>
      </w:r>
      <w:r w:rsidR="00B53FF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pořádání turnaje. </w:t>
      </w:r>
    </w:p>
    <w:p w14:paraId="4E9F1E93" w14:textId="56B1A1FF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Přísp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ěvek na pořádání je splatný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po skončení soutěže na pokyn řídícího soutěže (do 30. 6.</w:t>
      </w:r>
      <w:r w:rsidR="0064159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20</w:t>
      </w:r>
      <w:r w:rsidR="000A590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C223A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) a na základě vystavené faktury. </w:t>
      </w:r>
    </w:p>
    <w:p w14:paraId="4964CCC9" w14:textId="77777777" w:rsidR="006C71AA" w:rsidRPr="001B1089" w:rsidRDefault="00247ECF" w:rsidP="00D02C0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Úhrada odměn a cestovních náhrad delegovaných rozhodčích se provádí podle platné Ekonomické směrnice ČSH. </w:t>
      </w:r>
    </w:p>
    <w:p w14:paraId="3B111DA0" w14:textId="77777777" w:rsidR="00247ECF" w:rsidRPr="001B1089" w:rsidRDefault="00A97FDB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4.    Soutěžní vklad</w:t>
      </w:r>
      <w:r w:rsidR="00247ECF"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a přihláška do soutěže</w:t>
      </w:r>
    </w:p>
    <w:p w14:paraId="1AAA5E77" w14:textId="7CBB05B9" w:rsidR="00247ECF" w:rsidRPr="001B1089" w:rsidRDefault="00751DBA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          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Start jednotlivých družstev ve výše uvedených soutěžích je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spojen se</w:t>
      </w:r>
      <w:r w:rsidR="00B53FF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zaplacením účastnického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poplatku</w:t>
      </w:r>
      <w:r w:rsidR="00A97F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(soutěžního vkladu)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ve výši </w:t>
      </w:r>
      <w:r w:rsidR="00C575F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.500</w:t>
      </w:r>
      <w:r w:rsidR="0003221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Kč za</w:t>
      </w:r>
      <w:r w:rsidR="00B53FF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družstvo za celou soutěž. Tato povinnost se týká všech družstev, která jsou nominována svými krajskými svazy přímo do ŽL. Družstva, která se přihlásí do</w:t>
      </w:r>
      <w:r w:rsidR="00B53FF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kvalifikačního předkola, zaplatí do níže uvedeného data</w:t>
      </w:r>
      <w:r w:rsidR="00C320F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soutěžní vklad ve výši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500</w:t>
      </w:r>
      <w:r w:rsidR="0027358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Kč a v případě postupu do 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hlavní části</w:t>
      </w:r>
      <w:r w:rsidR="00C575F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ŽL uhradí dále částku 2000,-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Kč, a to nejpozději do 1 týdne po konání kvalifikace.</w:t>
      </w:r>
    </w:p>
    <w:p w14:paraId="14F6BED2" w14:textId="60EAAA0B" w:rsidR="00247ECF" w:rsidRPr="001B1089" w:rsidRDefault="00C320F2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Soutěžní vklad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91346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za účast v kvalifikaci 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zaplatí klub za své družstvo</w:t>
      </w:r>
      <w:r w:rsidR="001657D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resp.</w:t>
      </w:r>
      <w:r w:rsidR="00E27EC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družstva bankovním převodem </w:t>
      </w:r>
      <w:r w:rsidR="00DD78F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dle vystavené objednávky v</w:t>
      </w:r>
      <w:r w:rsidR="00B663E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DD78F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systému</w:t>
      </w:r>
      <w:r w:rsidR="00B663E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DD78F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</w:t>
      </w:r>
      <w:r w:rsidR="00871C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DD78F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net</w:t>
      </w:r>
      <w:r w:rsidR="00E27EC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DD78F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2.0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</w:t>
      </w:r>
      <w:r w:rsidR="00B663E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</w:t>
      </w:r>
      <w:r w:rsidR="00E27EC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to nejpozději do 1</w:t>
      </w:r>
      <w:r w:rsidR="00D465F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0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11. 20</w:t>
      </w:r>
      <w:r w:rsidR="007F395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54777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D465F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pro </w:t>
      </w:r>
      <w:r w:rsidR="00CB1DD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kategorii dívek</w:t>
      </w:r>
      <w:r w:rsidR="00D465F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do </w:t>
      </w:r>
      <w:r w:rsidR="00EC5B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17.</w:t>
      </w:r>
      <w:r w:rsidR="007219D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EC5B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11.</w:t>
      </w:r>
      <w:r w:rsidR="007219D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EC5B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2024 pro </w:t>
      </w:r>
      <w:r w:rsidR="00CB1DD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kategorii chlapců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59032B9F" w14:textId="43A27E7B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Přihláška do soutěže musí být úplně vyplněna na předepsaném formuláři </w:t>
      </w:r>
      <w:r w:rsidR="00C320F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„Přihláška do ŽL“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 doručen</w:t>
      </w:r>
      <w:r w:rsidR="0064159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 Ko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misi mládeže do </w:t>
      </w:r>
      <w:r w:rsidR="009801C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27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1</w:t>
      </w:r>
      <w:r w:rsidR="009801C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0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20</w:t>
      </w:r>
      <w:r w:rsidR="007F395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8A37B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CB1DD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A4795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kategorii dívek a do </w:t>
      </w:r>
      <w:r w:rsidR="004F7BB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3</w:t>
      </w:r>
      <w:r w:rsidR="00A4795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 11. 2024 pro kategorii chlapců</w:t>
      </w:r>
      <w:r w:rsidR="003112E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emaile</w:t>
      </w:r>
      <w:r w:rsidR="008A37B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 na</w:t>
      </w:r>
      <w:r w:rsidR="00E27EC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adresu </w:t>
      </w:r>
      <w:hyperlink r:id="rId11" w:history="1">
        <w:r w:rsidR="00E27EC9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4"/>
            <w:lang w:eastAsia="cs-CZ"/>
          </w:rPr>
          <w:t>oskera@handball.cz</w:t>
        </w:r>
      </w:hyperlink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Formulář přihlášky</w:t>
      </w:r>
      <w:r w:rsidR="0022484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je ke stažení na internetové stránce</w:t>
      </w:r>
      <w:r w:rsidR="0022484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hyperlink r:id="rId12" w:history="1">
        <w:r w:rsidR="00E27EC9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4"/>
            <w:lang w:eastAsia="cs-CZ"/>
          </w:rPr>
          <w:t>https://www.handball.cz/aktualita/zakovskaliga</w:t>
        </w:r>
      </w:hyperlink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Přihláška bude odmítnuta za</w:t>
      </w:r>
      <w:r w:rsidR="00E27EC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předpokladu, že nebude obsahovat podstatné náležitosti (název klubu,</w:t>
      </w:r>
      <w:r w:rsidR="00E27EC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adresa</w:t>
      </w:r>
      <w:r w:rsidR="008A37B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sídla, bankovní spojení, IČ klubu, adresa haly</w:t>
      </w:r>
      <w:r w:rsidR="000A590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 kontaktní osoba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).</w:t>
      </w:r>
    </w:p>
    <w:p w14:paraId="37C268BB" w14:textId="71ADCEF3" w:rsidR="00D02C0E" w:rsidRPr="001B1089" w:rsidRDefault="00247ECF" w:rsidP="0022484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KSH má pov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innost nejpozději do </w:t>
      </w:r>
      <w:r w:rsidR="003F689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3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1</w:t>
      </w:r>
      <w:r w:rsidR="003F689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6343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20</w:t>
      </w:r>
      <w:r w:rsidR="007F395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1515B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3F689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pro kategorii dívek a</w:t>
      </w:r>
      <w:r w:rsidR="0095579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3F689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nejpozději do </w:t>
      </w:r>
      <w:r w:rsidR="0095579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10. 11. 2024 pro kategorii chlapců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nahlásit </w:t>
      </w:r>
      <w:r w:rsidR="00C320F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družstva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přímo postupující do </w:t>
      </w:r>
      <w:r w:rsidR="00FB44C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hlavní části soutěže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3838A3CD" w14:textId="77777777" w:rsidR="00247ECF" w:rsidRPr="001B1089" w:rsidRDefault="00247ECF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5.    Pořadatel utkání</w:t>
      </w:r>
    </w:p>
    <w:p w14:paraId="6FF0CF74" w14:textId="77777777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Při stanovení </w:t>
      </w: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pořadatelství jednotlivých turnajů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se vychází z následujících principů: </w:t>
      </w:r>
    </w:p>
    <w:p w14:paraId="04538922" w14:textId="3840494E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Pořadatelství utkání v 1. – 5. kole je předem určeno nasazením do</w:t>
      </w:r>
      <w:r w:rsidR="00B53FF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jednotlivých skupin Žákovské ligy (viz článek 6). Dívčí družstva musí potvrdit přesné datum pořadatelství, a to nejpozději do </w:t>
      </w:r>
      <w:r w:rsidR="00D77E2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6D5AD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11. 20</w:t>
      </w:r>
      <w:r w:rsidR="007F395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EE435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Pokud družstvo nemůže dané kolo pořádat, musí tak oznámit řídícímu soutěže, taktéž do</w:t>
      </w:r>
      <w:r w:rsidR="009F1EB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D77E2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24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9F1EB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11.</w:t>
      </w:r>
      <w:r w:rsidR="009F1EB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</w:t>
      </w:r>
      <w:r w:rsidR="007F395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9F1EB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Chlapecká družstva musí potvrdit přesné datum pořadatelství, a</w:t>
      </w:r>
      <w:r w:rsidR="009F1EB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to nejpozději do </w:t>
      </w:r>
      <w:r w:rsidR="00347B4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1</w:t>
      </w:r>
      <w:r w:rsidR="00347B4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20</w:t>
      </w:r>
      <w:r w:rsidR="007F395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E01A4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Pokud družstvo nemůže dané kolo pořádat, musí tak oznámit řídícímu soutěže, taktéž do </w:t>
      </w:r>
      <w:r w:rsidR="00262E1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1</w:t>
      </w:r>
      <w:r w:rsidR="00485F0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20</w:t>
      </w:r>
      <w:r w:rsidR="007F395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E01A4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 Zájemci o pořádání takto uvolněného turnaje musí závazně projevit svůj zájem o pořádání do 3 pracovních </w:t>
      </w:r>
      <w:r w:rsidR="008E79D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dnů od oznámení těchto turnajů.</w:t>
      </w:r>
    </w:p>
    <w:p w14:paraId="13C097B9" w14:textId="605AD78B" w:rsidR="00247ECF" w:rsidRPr="001B1089" w:rsidRDefault="00247ECF" w:rsidP="00351E7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lastRenderedPageBreak/>
        <w:t xml:space="preserve">Zájemci o pořádání turnaje 6. kola Žákovské ligy musí závazně projevit svůj zájem o pořádání do </w:t>
      </w:r>
      <w:r w:rsidR="00C72F5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1</w:t>
      </w:r>
      <w:r w:rsidR="00967B5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20</w:t>
      </w:r>
      <w:r w:rsidR="007F395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380B7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Zájem musí projevit </w:t>
      </w:r>
      <w:r w:rsidRPr="001B108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e-mailem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na adresu řídícího soutěže </w:t>
      </w:r>
      <w:hyperlink r:id="rId13" w:history="1">
        <w:r w:rsidR="00380B73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4"/>
            <w:lang w:eastAsia="cs-CZ"/>
          </w:rPr>
          <w:t>oskera@handball.cz</w:t>
        </w:r>
      </w:hyperlink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Pořadatel bude následně určen </w:t>
      </w:r>
      <w:r w:rsidR="00C320F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dle</w:t>
      </w:r>
      <w:r w:rsidR="009F13E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C320F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ustanovení tohoto rozpisu.</w:t>
      </w:r>
    </w:p>
    <w:p w14:paraId="5E895ACA" w14:textId="1164B716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Pořadatelství uvolněných turnajů a turnajů 6. kola se nabízí vždy nejprve družstvu, které projevilo zájem o pořádání turnaje a je v plánu kola uvedeno na</w:t>
      </w:r>
      <w:r w:rsidR="009F13E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nejnižším místě. Pokud již v některém z minulých kol toto družstvo turnaj pořádalo, nabízí se pořadatelství družstvu, které projevilo o pořádání zájem a je na pozici vyšší.</w:t>
      </w:r>
    </w:p>
    <w:p w14:paraId="566CD544" w14:textId="49F21C0D" w:rsidR="0031348F" w:rsidRPr="009354E7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</w:t>
      </w:r>
      <w:r w:rsidR="007E051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kud o pořadatelství daného kola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neprojeví žádné družstvo zájem, nabídne se pořadatelství vždy nejprve družstvu, které je v plánu kola uvedeno na</w:t>
      </w:r>
      <w:r w:rsidR="009F13E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posledním místě. Pokud již v některém z minulých kol oslovené družstvo turnaj pořádalo, nabízí se pořadatelství družstvu o pozici výše. Pokud již všechna </w:t>
      </w:r>
      <w:r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družstva turnaj pořádala, nabídne se pořadatelství družstvu na nejnižší pozici a</w:t>
      </w:r>
      <w:r w:rsidR="00A750C0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s</w:t>
      </w:r>
      <w:r w:rsidR="009F13E0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nejnižším počtem turnajů pořádaných v předchozích kolech. Pokud všechna družstva odmítnou turnaj pořádat, může Komise mládeže ČSH jednomu z</w:t>
      </w:r>
      <w:r w:rsidR="00A750C0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družstev pořadatelství turnaje nařídit, popřípadě jej může nabídnout jinému oddílu. </w:t>
      </w:r>
    </w:p>
    <w:p w14:paraId="283E8266" w14:textId="108E77A4" w:rsidR="00247ECF" w:rsidRPr="009354E7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Pokud družstvo z jakéhokoli důvodu odmítne pořadatelství</w:t>
      </w:r>
      <w:r w:rsidR="0031348F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 předchozích kolech</w:t>
      </w:r>
      <w:r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, bude na něj pohlíženo jako na druž</w:t>
      </w:r>
      <w:r w:rsidR="0031348F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stvo, které již turnaj pořádalo, ale</w:t>
      </w:r>
      <w:r w:rsidR="0073347D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31348F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bez</w:t>
      </w:r>
      <w:r w:rsidR="00A750C0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31348F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nároku přednostn</w:t>
      </w:r>
      <w:r w:rsidR="005E7CF1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ě pořádat poslední kolo. M</w:t>
      </w:r>
      <w:r w:rsidR="0031348F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ůže pořádat</w:t>
      </w:r>
      <w:r w:rsidR="005E7CF1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C320F2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další turnaj pouze </w:t>
      </w:r>
      <w:r w:rsidR="005E7CF1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v případě, že</w:t>
      </w:r>
      <w:r w:rsidR="0031348F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ostatní</w:t>
      </w:r>
      <w:r w:rsidR="005E7CF1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družstva pořadatelství odmítnou</w:t>
      </w:r>
      <w:r w:rsidR="0031348F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011D3DBA" w14:textId="0A20AA9E" w:rsidR="00191322" w:rsidRPr="009354E7" w:rsidRDefault="00247ECF" w:rsidP="00C320F2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Pokud všechna družstva odmítnou pořádat turnaj, pořadatelem je KM ČSH za následujících podmínek: KM ČSH zajistí splnění podmínek pořadatele s tím,</w:t>
      </w:r>
      <w:r w:rsidR="0073347D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že žádnému ze zúčastněných družstev nenáleží příspěvek </w:t>
      </w:r>
      <w:r w:rsidR="00C320F2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na pořádání turnaje</w:t>
      </w:r>
      <w:r w:rsidR="008E79D6"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4328AA79" w14:textId="6873E027" w:rsidR="00247ECF" w:rsidRPr="009354E7" w:rsidRDefault="00191322" w:rsidP="00640D6E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9354E7">
        <w:rPr>
          <w:rFonts w:ascii="Times New Roman" w:eastAsia="Times New Roman" w:hAnsi="Times New Roman" w:cs="Times New Roman"/>
          <w:sz w:val="28"/>
          <w:szCs w:val="24"/>
          <w:lang w:eastAsia="cs-CZ"/>
        </w:rPr>
        <w:br w:type="page"/>
      </w:r>
    </w:p>
    <w:p w14:paraId="59D5C4A9" w14:textId="77777777" w:rsidR="00247ECF" w:rsidRPr="001B1089" w:rsidRDefault="00C320F2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 xml:space="preserve">6.    Rozlosování </w:t>
      </w:r>
    </w:p>
    <w:p w14:paraId="78E67B28" w14:textId="77777777" w:rsidR="00247ECF" w:rsidRPr="001B1089" w:rsidRDefault="00247ECF" w:rsidP="00D355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 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</w:t>
      </w:r>
      <w:r w:rsidR="00C320F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ro jednotlivé turnaje platí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následující pořadí utkání. Pořadatel je povinen tyto rozpisy dodržet. Nasazení družstev provádí pořadatel s ohledem na dopravní spojení jednotlivých družstev. Na družstvo, které v místě turnaje přespává, bude také pohlíženo jako na místní družstvo. Pořadatel vždy při nasazení družstev přiřadí místnímu družstvu číslo 1 (pořadatel nebo přespávající družstvo).</w:t>
      </w:r>
    </w:p>
    <w:p w14:paraId="3D0FAB30" w14:textId="7777777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32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2244"/>
        <w:gridCol w:w="2224"/>
      </w:tblGrid>
      <w:tr w:rsidR="001B1089" w:rsidRPr="001B1089" w14:paraId="20777ED8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271B7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Rozpis</w:t>
            </w:r>
          </w:p>
        </w:tc>
        <w:tc>
          <w:tcPr>
            <w:tcW w:w="0" w:type="auto"/>
            <w:vAlign w:val="center"/>
            <w:hideMark/>
          </w:tcPr>
          <w:p w14:paraId="0054911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Pro 4 družstva</w:t>
            </w:r>
          </w:p>
        </w:tc>
        <w:tc>
          <w:tcPr>
            <w:tcW w:w="0" w:type="auto"/>
            <w:vAlign w:val="center"/>
            <w:hideMark/>
          </w:tcPr>
          <w:p w14:paraId="474E434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Pro 5 družstev</w:t>
            </w:r>
          </w:p>
        </w:tc>
      </w:tr>
      <w:tr w:rsidR="001B1089" w:rsidRPr="001B1089" w14:paraId="41CEF663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49DEF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1. utkání</w:t>
            </w:r>
          </w:p>
        </w:tc>
        <w:tc>
          <w:tcPr>
            <w:tcW w:w="0" w:type="auto"/>
            <w:vAlign w:val="center"/>
            <w:hideMark/>
          </w:tcPr>
          <w:p w14:paraId="63FC646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1 – 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4A5A59A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1 - 2</w:t>
            </w:r>
            <w:proofErr w:type="gramEnd"/>
          </w:p>
        </w:tc>
      </w:tr>
      <w:tr w:rsidR="001B1089" w:rsidRPr="001B1089" w14:paraId="53641107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CF0DF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2. utkání</w:t>
            </w:r>
          </w:p>
        </w:tc>
        <w:tc>
          <w:tcPr>
            <w:tcW w:w="0" w:type="auto"/>
            <w:vAlign w:val="center"/>
            <w:hideMark/>
          </w:tcPr>
          <w:p w14:paraId="1157294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3 – 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7D64D6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3 - 4</w:t>
            </w:r>
            <w:proofErr w:type="gramEnd"/>
          </w:p>
        </w:tc>
      </w:tr>
      <w:tr w:rsidR="001B1089" w:rsidRPr="001B1089" w14:paraId="224E3B27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EE249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3. utkání</w:t>
            </w:r>
          </w:p>
        </w:tc>
        <w:tc>
          <w:tcPr>
            <w:tcW w:w="0" w:type="auto"/>
            <w:vAlign w:val="center"/>
            <w:hideMark/>
          </w:tcPr>
          <w:p w14:paraId="0AFF8A8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3 –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87241A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5 - 1</w:t>
            </w:r>
            <w:proofErr w:type="gramEnd"/>
          </w:p>
        </w:tc>
      </w:tr>
      <w:tr w:rsidR="001B1089" w:rsidRPr="001B1089" w14:paraId="78885EC1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400E9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4. utkání</w:t>
            </w:r>
          </w:p>
        </w:tc>
        <w:tc>
          <w:tcPr>
            <w:tcW w:w="0" w:type="auto"/>
            <w:vAlign w:val="center"/>
            <w:hideMark/>
          </w:tcPr>
          <w:p w14:paraId="6A7BFB3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4 – 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161305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2 - 3</w:t>
            </w:r>
            <w:proofErr w:type="gramEnd"/>
          </w:p>
        </w:tc>
      </w:tr>
      <w:tr w:rsidR="001B1089" w:rsidRPr="001B1089" w14:paraId="0F98BF61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A81A8F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5. utkání</w:t>
            </w:r>
          </w:p>
        </w:tc>
        <w:tc>
          <w:tcPr>
            <w:tcW w:w="0" w:type="auto"/>
            <w:vAlign w:val="center"/>
            <w:hideMark/>
          </w:tcPr>
          <w:p w14:paraId="260FB0F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2 – 3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3041B5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4 - 5</w:t>
            </w:r>
            <w:proofErr w:type="gramEnd"/>
          </w:p>
        </w:tc>
      </w:tr>
      <w:tr w:rsidR="001B1089" w:rsidRPr="001B1089" w14:paraId="6CB49A9D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F2B49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6. utkání</w:t>
            </w:r>
          </w:p>
        </w:tc>
        <w:tc>
          <w:tcPr>
            <w:tcW w:w="0" w:type="auto"/>
            <w:vAlign w:val="center"/>
            <w:hideMark/>
          </w:tcPr>
          <w:p w14:paraId="0707FD1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1 – 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884762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1 - 3</w:t>
            </w:r>
            <w:proofErr w:type="gramEnd"/>
          </w:p>
        </w:tc>
      </w:tr>
      <w:tr w:rsidR="001B1089" w:rsidRPr="001B1089" w14:paraId="4162E2E9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9C75F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7. utkání</w:t>
            </w:r>
          </w:p>
        </w:tc>
        <w:tc>
          <w:tcPr>
            <w:tcW w:w="0" w:type="auto"/>
            <w:vAlign w:val="center"/>
            <w:hideMark/>
          </w:tcPr>
          <w:p w14:paraId="7865709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9D737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2 - 4</w:t>
            </w:r>
            <w:proofErr w:type="gramEnd"/>
          </w:p>
        </w:tc>
      </w:tr>
      <w:tr w:rsidR="001B1089" w:rsidRPr="001B1089" w14:paraId="2854A8B0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A7E03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8. utkání</w:t>
            </w:r>
          </w:p>
        </w:tc>
        <w:tc>
          <w:tcPr>
            <w:tcW w:w="0" w:type="auto"/>
            <w:vAlign w:val="center"/>
            <w:hideMark/>
          </w:tcPr>
          <w:p w14:paraId="085129BF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B4BB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3 - 5</w:t>
            </w:r>
            <w:proofErr w:type="gramEnd"/>
          </w:p>
        </w:tc>
      </w:tr>
      <w:tr w:rsidR="001B1089" w:rsidRPr="001B1089" w14:paraId="4AC63ACF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D82F6B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9. utkání</w:t>
            </w:r>
          </w:p>
        </w:tc>
        <w:tc>
          <w:tcPr>
            <w:tcW w:w="0" w:type="auto"/>
            <w:vAlign w:val="center"/>
            <w:hideMark/>
          </w:tcPr>
          <w:p w14:paraId="4AA000A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45C5E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4 - 1</w:t>
            </w:r>
            <w:proofErr w:type="gramEnd"/>
          </w:p>
        </w:tc>
      </w:tr>
      <w:tr w:rsidR="001B1089" w:rsidRPr="001B1089" w14:paraId="51C5CDC6" w14:textId="77777777" w:rsidTr="00247EC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CAF5D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10. utkání</w:t>
            </w:r>
          </w:p>
        </w:tc>
        <w:tc>
          <w:tcPr>
            <w:tcW w:w="0" w:type="auto"/>
            <w:vAlign w:val="center"/>
            <w:hideMark/>
          </w:tcPr>
          <w:p w14:paraId="5245D607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30A8BA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proofErr w:type="gramStart"/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5 - 2</w:t>
            </w:r>
            <w:proofErr w:type="gramEnd"/>
          </w:p>
        </w:tc>
      </w:tr>
    </w:tbl>
    <w:p w14:paraId="2C73F57B" w14:textId="7777777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 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79D2D46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Rozpis utkání pro čtyři družstva se použije v případě nenaplnění Žákovské ligy 25 družstvy, a tedy v turnajích, které budou mít pouze 4 účastníky. Mezi druhým a třetím utkáním a mezi čtvrtým a pátým utkáním je pořadatel povinen zařadit přestávku v délce min. 40 minut a max. 60 minut. </w:t>
      </w:r>
    </w:p>
    <w:p w14:paraId="63DEBC1B" w14:textId="77777777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Rozpis utkání pro pět družstev se použije ve skupinách obsazených pěti účastníky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2E34460" w14:textId="3014F7C8" w:rsidR="00191322" w:rsidRPr="001B1089" w:rsidRDefault="00247ECF" w:rsidP="00D3557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Žákovská liga se hraje na šest kol starších žáků a starších žákyň, přičemž v</w:t>
      </w:r>
      <w:r w:rsidR="007D40E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každém kole sehraje každé družstvo jeden turnaj. Systém celé soutěže je každý s každým, tedy postupně družstva v průběhu šesti turnajových kol sehrají utkání se všemi ostatními družstvy, a to pouze jednou. Z každého turnaje se započítávají do celkové tabulky všechny dosažené výsledky.</w:t>
      </w:r>
    </w:p>
    <w:p w14:paraId="13C31EA6" w14:textId="5C8B32CB" w:rsidR="00D3557F" w:rsidRPr="001B1089" w:rsidRDefault="00191322" w:rsidP="00FB44CD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br w:type="page"/>
      </w:r>
    </w:p>
    <w:p w14:paraId="3F7B7EE0" w14:textId="3F26505A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lastRenderedPageBreak/>
        <w:t>První kolo</w:t>
      </w:r>
    </w:p>
    <w:p w14:paraId="7FBF3688" w14:textId="05B9813B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      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Do prvního kola je nominováno maximálně 25 družstev starších žáků</w:t>
      </w:r>
      <w:r w:rsidR="00E107F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</w:t>
      </w:r>
      <w:r w:rsidR="00141B1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E107F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maximálně 25 družstev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starších žákyň, která jsou rozdělena podle klíče do pěti skupin </w:t>
      </w:r>
      <w:r w:rsidR="005E145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(</w:t>
      </w:r>
      <w:r w:rsidR="00141B1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I–V</w:t>
      </w:r>
      <w:r w:rsidR="005E145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)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pořadatelství 1. kola připadá na družstva s čísly </w:t>
      </w:r>
      <w:r w:rsidR="00C7438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1–5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F017B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</w:p>
    <w:p w14:paraId="659BF378" w14:textId="1F48E62F" w:rsidR="002E64CD" w:rsidRPr="001B1089" w:rsidRDefault="00F017B3" w:rsidP="002E64C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Pro kategorii starších žáků j</w:t>
      </w:r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sou pro ročník 202</w:t>
      </w:r>
      <w:r w:rsidR="00E107F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E107F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jako pořadatelé prvního kola určena přímo postupující družstva z:</w:t>
      </w:r>
    </w:p>
    <w:p w14:paraId="2AD82A5F" w14:textId="77777777" w:rsidR="002E64CD" w:rsidRPr="001B1089" w:rsidRDefault="00F017B3" w:rsidP="002E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MSKSH</w:t>
      </w:r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</w:t>
      </w:r>
      <w:r w:rsidR="002E64C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LKSH</w:t>
      </w:r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</w:t>
      </w:r>
      <w:proofErr w:type="spellStart"/>
      <w:r w:rsidR="002E64C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JčKSH</w:t>
      </w:r>
      <w:proofErr w:type="spellEnd"/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</w:t>
      </w:r>
      <w:r w:rsidR="002E64C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ZKSH</w:t>
      </w:r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</w:t>
      </w:r>
      <w:r w:rsidR="002E64C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PKSH</w:t>
      </w:r>
    </w:p>
    <w:p w14:paraId="41DE47F1" w14:textId="2FCB95B1" w:rsidR="00FE6534" w:rsidRPr="001B1089" w:rsidRDefault="00FE6534" w:rsidP="00FE6534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Pro kategorii starších žaček jsou pro ročník 202</w:t>
      </w:r>
      <w:r w:rsidR="00E107F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E107F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jako pořadatelé prvního kola určena přímo postupující družstva z: </w:t>
      </w:r>
    </w:p>
    <w:p w14:paraId="077AC2B1" w14:textId="77777777" w:rsidR="00247ECF" w:rsidRPr="001B1089" w:rsidRDefault="002E64CD" w:rsidP="002E6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SKSH</w:t>
      </w:r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PSH</w:t>
      </w:r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</w:t>
      </w:r>
      <w:proofErr w:type="spellStart"/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JmKSH</w:t>
      </w:r>
      <w:proofErr w:type="spellEnd"/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VYS</w:t>
      </w:r>
      <w:r w:rsidR="00FE65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ÚKSH</w:t>
      </w:r>
    </w:p>
    <w:p w14:paraId="0B8BC77C" w14:textId="08CB1CB4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14 </w:t>
      </w:r>
      <w:r w:rsidR="00E107F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míst – každý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krajský svaz jedno místo (1-14)</w:t>
      </w:r>
    </w:p>
    <w:p w14:paraId="0C70A8F5" w14:textId="1ADA331C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1 </w:t>
      </w:r>
      <w:r w:rsidR="00E107F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místo – kraj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 vítězným družstvem z předchozího ročníku</w:t>
      </w:r>
    </w:p>
    <w:p w14:paraId="18C69BD1" w14:textId="248C344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10 </w:t>
      </w:r>
      <w:r w:rsidR="00E107F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míst – pro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postupující z kvalifikačního předkola</w:t>
      </w:r>
    </w:p>
    <w:p w14:paraId="16546736" w14:textId="7777777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1463"/>
        <w:gridCol w:w="1676"/>
        <w:gridCol w:w="1729"/>
        <w:gridCol w:w="1518"/>
      </w:tblGrid>
      <w:tr w:rsidR="001B1089" w:rsidRPr="001B1089" w14:paraId="3B3DAF4D" w14:textId="77777777" w:rsidTr="002E64CD">
        <w:trPr>
          <w:trHeight w:val="514"/>
          <w:jc w:val="center"/>
        </w:trPr>
        <w:tc>
          <w:tcPr>
            <w:tcW w:w="77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F0844A1" w14:textId="4D864381" w:rsidR="00247ECF" w:rsidRPr="001B1089" w:rsidRDefault="00371C43" w:rsidP="00247EC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41484482"/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 – STARŠÍ</w:t>
            </w:r>
            <w:r w:rsidR="00247ECF"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ŽÁCI</w:t>
            </w:r>
            <w:r w:rsidR="00FE6534"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STARŠÍ ŽÁKYNĚ</w:t>
            </w:r>
          </w:p>
        </w:tc>
      </w:tr>
      <w:tr w:rsidR="001B1089" w:rsidRPr="001B1089" w14:paraId="542F1088" w14:textId="77777777" w:rsidTr="002E64CD">
        <w:trPr>
          <w:trHeight w:val="514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7AFC82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35D16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AF55E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7E5D12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FC56E8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</w:tr>
      <w:tr w:rsidR="001B1089" w:rsidRPr="001B1089" w14:paraId="3C071696" w14:textId="77777777" w:rsidTr="002E64CD">
        <w:trPr>
          <w:trHeight w:val="514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C9A0E3E" w14:textId="77777777" w:rsidR="00247ECF" w:rsidRPr="001B1089" w:rsidRDefault="002E64CD" w:rsidP="002E6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D213C63" w14:textId="77777777" w:rsidR="00247ECF" w:rsidRPr="001B1089" w:rsidRDefault="002E64CD" w:rsidP="00FE65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F166FF6" w14:textId="77777777" w:rsidR="00247ECF" w:rsidRPr="001B1089" w:rsidRDefault="002E64CD" w:rsidP="002E6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AD233F1" w14:textId="77777777" w:rsidR="00247ECF" w:rsidRPr="001B1089" w:rsidRDefault="002E64CD" w:rsidP="002E6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7D1F7CE3" w14:textId="77777777" w:rsidR="00247ECF" w:rsidRPr="001B1089" w:rsidRDefault="002E64CD" w:rsidP="002E64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B1089" w:rsidRPr="001B1089" w14:paraId="33F87568" w14:textId="77777777" w:rsidTr="002E64CD">
        <w:trPr>
          <w:trHeight w:val="514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A57B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44F3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0BAE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E8DA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BDFF5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1B1089" w:rsidRPr="001B1089" w14:paraId="3248A200" w14:textId="77777777" w:rsidTr="002E64CD">
        <w:trPr>
          <w:trHeight w:val="514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CEC5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3FCC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48F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94B2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F4C57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</w:tr>
      <w:tr w:rsidR="001B1089" w:rsidRPr="001B1089" w14:paraId="5E0779B1" w14:textId="77777777" w:rsidTr="002E64CD">
        <w:trPr>
          <w:trHeight w:val="514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BBB5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E83D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4D8C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C0B1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E1C32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1B1089" w:rsidRPr="001B1089" w14:paraId="11C8840C" w14:textId="77777777" w:rsidTr="002E64CD">
        <w:trPr>
          <w:trHeight w:val="539"/>
          <w:jc w:val="center"/>
        </w:trPr>
        <w:tc>
          <w:tcPr>
            <w:tcW w:w="1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FD457B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34D35A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9D0A6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A5AC4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CEC78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</w:tbl>
    <w:bookmarkEnd w:id="0"/>
    <w:p w14:paraId="547E6E37" w14:textId="3FCC757A" w:rsidR="00191322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B84C6D3" w14:textId="3D121E3E" w:rsidR="00247ECF" w:rsidRPr="001B1089" w:rsidRDefault="00191322" w:rsidP="00FB44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1157141E" w14:textId="7777777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lastRenderedPageBreak/>
        <w:t>Druhé kolo</w:t>
      </w:r>
    </w:p>
    <w:p w14:paraId="54AB7819" w14:textId="552035CD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      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Druhé kolo hraje všech 25 družstev, do celkové tabulky soutěže se počítají všechny výsledky z předchozích kol. Družstva jsou nasazená do pěti skupin</w:t>
      </w:r>
      <w:r w:rsidR="00136A9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5E145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(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VI</w:t>
      </w:r>
      <w:r w:rsidR="00371C4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371C4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X</w:t>
      </w:r>
      <w:r w:rsidR="005E145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)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pořadatelství 2. kola připadá na družstva s čísly </w:t>
      </w:r>
      <w:r w:rsidR="00141B1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6–10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512B2F92" w14:textId="4D05C4F9" w:rsidR="008E0CA0" w:rsidRPr="001B1089" w:rsidRDefault="008E0CA0" w:rsidP="008E0CA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kategorii starších žáků jsou pro ročník 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202</w:t>
      </w:r>
      <w:r w:rsidR="00136A9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136A9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jako pořadatelé druhého kola určena přímo postupující družstva z: </w:t>
      </w:r>
    </w:p>
    <w:p w14:paraId="00CCE1BD" w14:textId="7993B474" w:rsidR="00592159" w:rsidRPr="001B1089" w:rsidRDefault="00592159" w:rsidP="008E0CA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PSH, OLKSH, KHKSH, ÚKSH, </w:t>
      </w:r>
      <w:r w:rsidR="007A423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VYS</w:t>
      </w:r>
    </w:p>
    <w:p w14:paraId="4EFCC023" w14:textId="0FB3809E" w:rsidR="008E0CA0" w:rsidRPr="001B1089" w:rsidRDefault="008E0CA0" w:rsidP="008E0CA0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kategorii starších žaček jsou pro ročník 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202</w:t>
      </w:r>
      <w:r w:rsidR="00136A9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136A9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jako pořadatelé druhého kola určena přímo postupující družstva z: </w:t>
      </w:r>
    </w:p>
    <w:p w14:paraId="5163EC8F" w14:textId="77777777" w:rsidR="00247ECF" w:rsidRPr="001B1089" w:rsidRDefault="00592159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>KVKSH, PAKSH, MSKSH,</w:t>
      </w:r>
      <w:r w:rsidR="00247ECF"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proofErr w:type="spellStart"/>
      <w:r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>JčKSH</w:t>
      </w:r>
      <w:proofErr w:type="spellEnd"/>
      <w:r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="004438E8"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>ZKSH</w:t>
      </w:r>
    </w:p>
    <w:tbl>
      <w:tblPr>
        <w:tblpPr w:leftFromText="141" w:rightFromText="141" w:vertAnchor="text" w:horzAnchor="margin" w:tblpXSpec="center" w:tblpY="631"/>
        <w:tblW w:w="7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418"/>
        <w:gridCol w:w="1559"/>
        <w:gridCol w:w="1540"/>
        <w:gridCol w:w="1662"/>
      </w:tblGrid>
      <w:tr w:rsidR="001B1089" w:rsidRPr="001B1089" w14:paraId="0995FFF0" w14:textId="77777777" w:rsidTr="00191322">
        <w:trPr>
          <w:trHeight w:val="503"/>
        </w:trPr>
        <w:tc>
          <w:tcPr>
            <w:tcW w:w="78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705EE5C" w14:textId="77777777" w:rsidR="00191322" w:rsidRPr="001B1089" w:rsidRDefault="00191322" w:rsidP="00191322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 – STARŠÍ ŽÁCI / STARŠÍ ŽÁKYNĚ</w:t>
            </w:r>
          </w:p>
        </w:tc>
      </w:tr>
      <w:tr w:rsidR="001B1089" w:rsidRPr="001B1089" w14:paraId="126B3B96" w14:textId="77777777" w:rsidTr="00191322">
        <w:trPr>
          <w:trHeight w:val="503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A885CB9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C5A0A70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54F2D5F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98C88AE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F6435A9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1B1089" w:rsidRPr="001B1089" w14:paraId="544223B1" w14:textId="77777777" w:rsidTr="00191322">
        <w:trPr>
          <w:trHeight w:val="503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99CE5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4C7E5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579B4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ABC3D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8465CC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B1089" w:rsidRPr="001B1089" w14:paraId="1157D9E1" w14:textId="77777777" w:rsidTr="00191322">
        <w:trPr>
          <w:trHeight w:val="503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8601C50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6A2AE8D3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B32D699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85F6D4C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3FF0BB8D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1B1089" w:rsidRPr="001B1089" w14:paraId="4FB012A6" w14:textId="77777777" w:rsidTr="00191322">
        <w:trPr>
          <w:trHeight w:val="503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E556A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FCB0E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DA231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FDED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815BEA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</w:tr>
      <w:tr w:rsidR="001B1089" w:rsidRPr="001B1089" w14:paraId="5D60B760" w14:textId="77777777" w:rsidTr="00191322">
        <w:trPr>
          <w:trHeight w:val="503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840D9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C96CF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22BBD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AF67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B9CFAB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</w:tr>
      <w:tr w:rsidR="001B1089" w:rsidRPr="001B1089" w14:paraId="1FAAA78E" w14:textId="77777777" w:rsidTr="00191322">
        <w:trPr>
          <w:trHeight w:val="528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67B936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393691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EF2C5E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B860E3C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DCBF7B" w14:textId="77777777" w:rsidR="00191322" w:rsidRPr="001B1089" w:rsidRDefault="00191322" w:rsidP="001913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</w:tr>
    </w:tbl>
    <w:p w14:paraId="01771A32" w14:textId="77777777" w:rsidR="008E0CA0" w:rsidRPr="001B1089" w:rsidRDefault="008E0CA0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590B9B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B6549D" w14:textId="77777777" w:rsidR="00191322" w:rsidRPr="001B1089" w:rsidRDefault="00191322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</w:p>
    <w:p w14:paraId="59A609B4" w14:textId="77777777" w:rsidR="00191322" w:rsidRPr="001B1089" w:rsidRDefault="00191322">
      <w:pP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br w:type="page"/>
      </w:r>
    </w:p>
    <w:p w14:paraId="491F0715" w14:textId="254EC346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lastRenderedPageBreak/>
        <w:t>Třetí kolo</w:t>
      </w:r>
    </w:p>
    <w:p w14:paraId="465F9F4C" w14:textId="13EF1461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       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 xml:space="preserve">Třetí kolo hraje všech 25 družstev, do celkové tabulky soutěže se počítají všechny výsledky z předchozích kol. Družstva jsou nasazená do pěti skupin </w:t>
      </w:r>
      <w:r w:rsidR="005E145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(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XI</w:t>
      </w:r>
      <w:r w:rsidR="004C0F5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4C0F5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XV</w:t>
      </w:r>
      <w:r w:rsidR="005B67A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)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pořadatelství 3. kola připadá na družstva s čísly </w:t>
      </w:r>
      <w:r w:rsidR="004C0F5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11–15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5D6F0B50" w14:textId="6CFF63FE" w:rsidR="004438E8" w:rsidRPr="001B1089" w:rsidRDefault="004438E8" w:rsidP="004438E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kategorii starších žáků jsou pro ročník 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202</w:t>
      </w:r>
      <w:r w:rsidR="004C0F5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4C0F5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jako pořadatelé třetího kola určena přímo postupující družstva z: </w:t>
      </w:r>
    </w:p>
    <w:p w14:paraId="0811DAB3" w14:textId="1764FB39" w:rsidR="004438E8" w:rsidRPr="001B1089" w:rsidRDefault="004438E8" w:rsidP="004438E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SKSH, </w:t>
      </w:r>
      <w:proofErr w:type="spellStart"/>
      <w:r w:rsidR="007A423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JmKSH</w:t>
      </w:r>
      <w:proofErr w:type="spellEnd"/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PAKSH, KVKSH + </w:t>
      </w:r>
      <w:r w:rsidR="00B20D4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druhé </w:t>
      </w:r>
      <w:r w:rsidR="00D5408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přímo nominované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družstvo z</w:t>
      </w:r>
      <w:r w:rsidR="00B20D4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kraje, </w:t>
      </w:r>
      <w:r w:rsidR="00CB0A6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ze </w:t>
      </w:r>
      <w:r w:rsidR="00B20D4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kter</w:t>
      </w:r>
      <w:r w:rsidR="00CB0A6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ého</w:t>
      </w:r>
      <w:r w:rsidR="00B20D4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byl vítěz předchozího ročníku</w:t>
      </w:r>
    </w:p>
    <w:p w14:paraId="2FFFC850" w14:textId="50EC1D56" w:rsidR="004438E8" w:rsidRPr="001B1089" w:rsidRDefault="004438E8" w:rsidP="004438E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kategorii starších žaček jsou pro ročník 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202</w:t>
      </w:r>
      <w:r w:rsidR="004C0F5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4C0F5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jako pořadatelé třetího kola určena přímo postupující družstva z: </w:t>
      </w:r>
    </w:p>
    <w:p w14:paraId="02B48340" w14:textId="77777777" w:rsidR="004438E8" w:rsidRPr="001B1089" w:rsidRDefault="004438E8" w:rsidP="004438E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PKSH, LKSH, O</w:t>
      </w:r>
      <w:r w:rsidR="00CB0A6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L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KSH, KHKSH </w:t>
      </w:r>
      <w:r w:rsidR="00B20D4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+ druhé</w:t>
      </w:r>
      <w:r w:rsidR="00D5408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přímo nominované</w:t>
      </w:r>
      <w:r w:rsidR="00B20D4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družstvo z kraje, </w:t>
      </w:r>
      <w:r w:rsidR="00CB0A6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ze </w:t>
      </w:r>
      <w:r w:rsidR="00B20D4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kter</w:t>
      </w:r>
      <w:r w:rsidR="00CB0A6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ého</w:t>
      </w:r>
      <w:r w:rsidR="00B20D4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byl vítěz předchozího ročníku</w:t>
      </w:r>
    </w:p>
    <w:p w14:paraId="621BEE16" w14:textId="77777777" w:rsidR="00247ECF" w:rsidRPr="001B1089" w:rsidRDefault="00247ECF" w:rsidP="00247ECF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404"/>
        <w:gridCol w:w="1695"/>
        <w:gridCol w:w="1769"/>
        <w:gridCol w:w="1479"/>
      </w:tblGrid>
      <w:tr w:rsidR="001B1089" w:rsidRPr="001B1089" w14:paraId="128770E1" w14:textId="77777777" w:rsidTr="00247ECF">
        <w:trPr>
          <w:trHeight w:val="505"/>
          <w:jc w:val="center"/>
        </w:trPr>
        <w:tc>
          <w:tcPr>
            <w:tcW w:w="77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489B8E7" w14:textId="416EDA62" w:rsidR="00247ECF" w:rsidRPr="001B1089" w:rsidRDefault="004C0F5E" w:rsidP="00247ECF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 – STARŠÍ</w:t>
            </w:r>
            <w:r w:rsidR="00247ECF"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ŽÁCI / STARŠÍ ŽÁKYNĚ</w:t>
            </w:r>
          </w:p>
        </w:tc>
      </w:tr>
      <w:tr w:rsidR="001B1089" w:rsidRPr="001B1089" w14:paraId="670AD06C" w14:textId="77777777" w:rsidTr="00247ECF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1021DF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4539D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C9D41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XIII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CDA332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XIV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9E81217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XV</w:t>
            </w:r>
          </w:p>
        </w:tc>
      </w:tr>
      <w:tr w:rsidR="001B1089" w:rsidRPr="001B1089" w14:paraId="24A6C73D" w14:textId="77777777" w:rsidTr="00247ECF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AB7C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9CA8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C5AF7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A841B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EAD98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B1089" w:rsidRPr="001B1089" w14:paraId="513EE82D" w14:textId="77777777" w:rsidTr="00247ECF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62A6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68B7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01A7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4D5E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ADA92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1B1089" w:rsidRPr="001B1089" w14:paraId="0373ED21" w14:textId="77777777" w:rsidTr="00247ECF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55DEA6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EF5518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44543D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04877DB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372AE3DA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1B1089" w:rsidRPr="001B1089" w14:paraId="2E799664" w14:textId="77777777" w:rsidTr="00247ECF">
        <w:trPr>
          <w:trHeight w:val="505"/>
          <w:jc w:val="center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CB0A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C4B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0D76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5469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72E2F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</w:tr>
      <w:tr w:rsidR="001B1089" w:rsidRPr="001B1089" w14:paraId="319B4D40" w14:textId="77777777" w:rsidTr="00247ECF">
        <w:trPr>
          <w:trHeight w:val="531"/>
          <w:jc w:val="center"/>
        </w:trPr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8B357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C8E3C5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ACCA77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E0054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38658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</w:tr>
    </w:tbl>
    <w:p w14:paraId="2DEF5110" w14:textId="7FF827FF" w:rsidR="00191322" w:rsidRPr="001B1089" w:rsidRDefault="00247ECF" w:rsidP="004438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14:paraId="6E234BF5" w14:textId="77777777" w:rsidR="00191322" w:rsidRPr="001B1089" w:rsidRDefault="0019132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5105B139" w14:textId="7777777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lastRenderedPageBreak/>
        <w:t>Čtvrté kolo</w:t>
      </w:r>
    </w:p>
    <w:p w14:paraId="626CAC73" w14:textId="043582FF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Čtvrté kolo hraje všech 25 družstev, do celkové tabulky soutěže se počítají všechny výsledky z předchozích kol. Družstva jsou nasazená do pěti skupin </w:t>
      </w:r>
      <w:r w:rsidR="005B67A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(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XVI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1B1F9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XX</w:t>
      </w:r>
      <w:r w:rsidR="005B67A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)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pořadatelství 4. kola připadá na družstva s čísly 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16–20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7E20A252" w14:textId="6330FA97" w:rsidR="004438E8" w:rsidRPr="001B1089" w:rsidRDefault="004438E8" w:rsidP="004438E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kategorii starších žáků jsou pro ročník 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jako pořadatelé čtvrtého kola určena družstva, která postoupí z kvalifikací.</w:t>
      </w:r>
    </w:p>
    <w:p w14:paraId="45002F3B" w14:textId="6DCE00A4" w:rsidR="004438E8" w:rsidRPr="001B1089" w:rsidRDefault="004438E8" w:rsidP="004438E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kategorii starších žaček jsou pro ročník 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jako pořadatelé čtvrtého kola určena družstva, která postoupí z kvalifikací.</w:t>
      </w:r>
    </w:p>
    <w:p w14:paraId="3320C59F" w14:textId="7777777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</w:p>
    <w:tbl>
      <w:tblPr>
        <w:tblW w:w="75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1493"/>
        <w:gridCol w:w="1796"/>
        <w:gridCol w:w="1428"/>
        <w:gridCol w:w="1430"/>
      </w:tblGrid>
      <w:tr w:rsidR="001B1089" w:rsidRPr="001B1089" w14:paraId="3AA3C7DE" w14:textId="77777777" w:rsidTr="00247ECF">
        <w:trPr>
          <w:trHeight w:val="508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B4A40C7" w14:textId="57C5F863" w:rsidR="00247ECF" w:rsidRPr="001B1089" w:rsidRDefault="005E03BC" w:rsidP="00247ECF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 – STARŠÍ</w:t>
            </w:r>
            <w:r w:rsidR="00247ECF"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ŽÁCI / STARŠÍ ŽÁKYNĚ</w:t>
            </w:r>
          </w:p>
        </w:tc>
      </w:tr>
      <w:tr w:rsidR="001B1089" w:rsidRPr="001B1089" w14:paraId="281F6CCF" w14:textId="77777777" w:rsidTr="00247ECF">
        <w:trPr>
          <w:trHeight w:val="508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837649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XVI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01BDA7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XVII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799C62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XVIII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5295D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XIX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84C09C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</w:t>
            </w:r>
          </w:p>
        </w:tc>
      </w:tr>
      <w:tr w:rsidR="001B1089" w:rsidRPr="001B1089" w14:paraId="5861A3CB" w14:textId="77777777" w:rsidTr="00247ECF">
        <w:trPr>
          <w:trHeight w:val="508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E1B6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E7FA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43B2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F23CF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AD9CB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B1089" w:rsidRPr="001B1089" w14:paraId="41EDB062" w14:textId="77777777" w:rsidTr="00247ECF">
        <w:trPr>
          <w:trHeight w:val="508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58CFF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EDBD7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4B2B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876F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179CF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1B1089" w:rsidRPr="001B1089" w14:paraId="78A2E782" w14:textId="77777777" w:rsidTr="00247ECF">
        <w:trPr>
          <w:trHeight w:val="508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474B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E9DDF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B447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F260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72EAB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1B1089" w:rsidRPr="001B1089" w14:paraId="69A99F6E" w14:textId="77777777" w:rsidTr="00247ECF">
        <w:trPr>
          <w:trHeight w:val="508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C986A8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E3C74A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054AEF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1BC93AAF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11DD163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</w:tr>
      <w:tr w:rsidR="001B1089" w:rsidRPr="001B1089" w14:paraId="3931D5B6" w14:textId="77777777" w:rsidTr="00247ECF">
        <w:trPr>
          <w:trHeight w:val="534"/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56374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942D8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A2B85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D86622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6F703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</w:tr>
    </w:tbl>
    <w:p w14:paraId="47E08321" w14:textId="7777777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8F3318E" w14:textId="77777777" w:rsidR="00191322" w:rsidRPr="001B1089" w:rsidRDefault="00191322">
      <w:pP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br w:type="page"/>
      </w:r>
    </w:p>
    <w:p w14:paraId="0B1364EE" w14:textId="5B25EC9D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lastRenderedPageBreak/>
        <w:t>Páté kolo</w:t>
      </w:r>
    </w:p>
    <w:p w14:paraId="0213AD12" w14:textId="686BDED1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Páté kolo hraje všech 25 družstev, do celkové tabulky soutěže se počítají všechny výsledky z předchozích kol. Družstva jsou nasazená do pěti skupin </w:t>
      </w:r>
      <w:r w:rsidR="005B67A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(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XXI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XXV</w:t>
      </w:r>
      <w:r w:rsidR="005B67A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)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pořadatelství 5. kola připadá na družstva s čísly 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21–25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</w:t>
      </w:r>
    </w:p>
    <w:p w14:paraId="47E33E44" w14:textId="32193922" w:rsidR="004438E8" w:rsidRPr="001B1089" w:rsidRDefault="004438E8" w:rsidP="004438E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kategorii starších žáků jsou pro ročník 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jako pořadatelé pátého kola určena družstva, která postoupí z kvalifikací.</w:t>
      </w:r>
    </w:p>
    <w:p w14:paraId="73D88F6B" w14:textId="334EFC26" w:rsidR="004438E8" w:rsidRPr="001B1089" w:rsidRDefault="004438E8" w:rsidP="004438E8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kategorii starších žaček jsou pro ročník 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7821B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jako pořadatelé pátého kola určena družstva, která postoupí z kvalifikací.</w:t>
      </w:r>
    </w:p>
    <w:p w14:paraId="5602EF1C" w14:textId="77777777" w:rsidR="00247ECF" w:rsidRPr="001B1089" w:rsidRDefault="00247ECF" w:rsidP="00247ECF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4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7"/>
        <w:gridCol w:w="1487"/>
      </w:tblGrid>
      <w:tr w:rsidR="001B1089" w:rsidRPr="001B1089" w14:paraId="7DE3AF72" w14:textId="77777777" w:rsidTr="00247ECF">
        <w:trPr>
          <w:trHeight w:val="480"/>
          <w:jc w:val="center"/>
        </w:trPr>
        <w:tc>
          <w:tcPr>
            <w:tcW w:w="743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99BED19" w14:textId="4BE205A7" w:rsidR="00247ECF" w:rsidRPr="001B1089" w:rsidRDefault="005E03BC" w:rsidP="00247ECF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 – STARŠÍ</w:t>
            </w:r>
            <w:r w:rsidR="00247ECF"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ŽÁCI / STARŠÍ ŽÁKYNĚ</w:t>
            </w:r>
          </w:p>
        </w:tc>
      </w:tr>
      <w:tr w:rsidR="001B1089" w:rsidRPr="001B1089" w14:paraId="20321A83" w14:textId="77777777" w:rsidTr="00247ECF">
        <w:trPr>
          <w:trHeight w:val="480"/>
          <w:jc w:val="center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2CEA0A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F6D4DA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XXII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7509E6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XXIII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AD92B1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XXIV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856ACDB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XXV</w:t>
            </w:r>
          </w:p>
        </w:tc>
      </w:tr>
      <w:tr w:rsidR="001B1089" w:rsidRPr="001B1089" w14:paraId="1EC8A6A4" w14:textId="77777777" w:rsidTr="00247ECF">
        <w:trPr>
          <w:trHeight w:val="480"/>
          <w:jc w:val="center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FDBF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6A4C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BCDB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FCF8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58628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B1089" w:rsidRPr="001B1089" w14:paraId="4C032B53" w14:textId="77777777" w:rsidTr="00247ECF">
        <w:trPr>
          <w:trHeight w:val="480"/>
          <w:jc w:val="center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DB40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F365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4BFB7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B789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3F148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1B1089" w:rsidRPr="001B1089" w14:paraId="4482D847" w14:textId="77777777" w:rsidTr="00247ECF">
        <w:trPr>
          <w:trHeight w:val="480"/>
          <w:jc w:val="center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1F66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6B2C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60CBB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34CD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784F32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</w:tr>
      <w:tr w:rsidR="001B1089" w:rsidRPr="001B1089" w14:paraId="497E0C89" w14:textId="77777777" w:rsidTr="00247ECF">
        <w:trPr>
          <w:trHeight w:val="480"/>
          <w:jc w:val="center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FEE9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0E5A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8215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424C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C03D137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</w:tr>
      <w:tr w:rsidR="001B1089" w:rsidRPr="001B1089" w14:paraId="1B7F70AA" w14:textId="77777777" w:rsidTr="00247ECF">
        <w:trPr>
          <w:trHeight w:val="504"/>
          <w:jc w:val="center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3B3D0A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2457FA7F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E31A89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321D6327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bottom"/>
            <w:hideMark/>
          </w:tcPr>
          <w:p w14:paraId="2C718EC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</w:tr>
    </w:tbl>
    <w:p w14:paraId="0311F3B7" w14:textId="5C6243F0" w:rsidR="00191322" w:rsidRPr="001B1089" w:rsidRDefault="00247ECF" w:rsidP="004438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0D5336A" w14:textId="77777777" w:rsidR="00191322" w:rsidRPr="001B1089" w:rsidRDefault="0019132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62BF71AB" w14:textId="7777777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lastRenderedPageBreak/>
        <w:t>Šesté kolo</w:t>
      </w:r>
    </w:p>
    <w:p w14:paraId="6578A42F" w14:textId="4FD7DCB2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Šesté kolo hraje všech 25 družstev, do celkové tabulky soutěže se počítají všechny výsledky z předchozích kol. Družstva jsou nasazená do pěti skupin </w:t>
      </w:r>
      <w:r w:rsidR="005B67A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(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XXVI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XXX</w:t>
      </w:r>
      <w:r w:rsidR="005B67A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)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 pořadatelství 6. kola se určuje dle čl. 5 rozpisu.</w:t>
      </w:r>
    </w:p>
    <w:p w14:paraId="603F819A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</w:p>
    <w:tbl>
      <w:tblPr>
        <w:tblW w:w="8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810"/>
        <w:gridCol w:w="2007"/>
        <w:gridCol w:w="1569"/>
        <w:gridCol w:w="1373"/>
      </w:tblGrid>
      <w:tr w:rsidR="001B1089" w:rsidRPr="001B1089" w14:paraId="046D39EC" w14:textId="77777777" w:rsidTr="00247ECF">
        <w:trPr>
          <w:trHeight w:val="534"/>
          <w:jc w:val="center"/>
        </w:trPr>
        <w:tc>
          <w:tcPr>
            <w:tcW w:w="83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F5BEBAD" w14:textId="42747136" w:rsidR="00247ECF" w:rsidRPr="001B1089" w:rsidRDefault="005E03BC" w:rsidP="00247ECF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KOLO – STARŠÍ</w:t>
            </w:r>
            <w:r w:rsidR="00247ECF"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ŽÁCI / STARŠÍ ŽÁKYNĚ</w:t>
            </w:r>
          </w:p>
        </w:tc>
      </w:tr>
      <w:tr w:rsidR="001B1089" w:rsidRPr="001B1089" w14:paraId="35D3A30B" w14:textId="77777777" w:rsidTr="00247ECF">
        <w:trPr>
          <w:trHeight w:val="534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D53BFC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XXVI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0F0A26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XXVII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A9378A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XXVIII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89593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XXIX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E30810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</w:t>
            </w:r>
          </w:p>
        </w:tc>
      </w:tr>
      <w:tr w:rsidR="001B1089" w:rsidRPr="001B1089" w14:paraId="6B0649F1" w14:textId="77777777" w:rsidTr="00247ECF">
        <w:trPr>
          <w:trHeight w:val="534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2B63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6027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8C9C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7C2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F4F27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</w:tr>
      <w:tr w:rsidR="001B1089" w:rsidRPr="001B1089" w14:paraId="352BB694" w14:textId="77777777" w:rsidTr="00247ECF">
        <w:trPr>
          <w:trHeight w:val="534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FA1C7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E399D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532A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4D26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27EFEA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</w:tr>
      <w:tr w:rsidR="001B1089" w:rsidRPr="001B1089" w14:paraId="40825D37" w14:textId="77777777" w:rsidTr="00247ECF">
        <w:trPr>
          <w:trHeight w:val="534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82C0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EB1DB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A152B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B012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0798EB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</w:tr>
      <w:tr w:rsidR="001B1089" w:rsidRPr="001B1089" w14:paraId="43BA77D6" w14:textId="77777777" w:rsidTr="00247ECF">
        <w:trPr>
          <w:trHeight w:val="534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EEBC2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7571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47FCB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76D4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192C0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</w:tr>
      <w:tr w:rsidR="001B1089" w:rsidRPr="001B1089" w14:paraId="28A9682E" w14:textId="77777777" w:rsidTr="00247ECF">
        <w:trPr>
          <w:trHeight w:val="561"/>
          <w:jc w:val="center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94132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B0754C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90B72F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D03FFE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33DCC5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</w:tr>
    </w:tbl>
    <w:p w14:paraId="060E74CC" w14:textId="1C3849DC" w:rsidR="00FB44CD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676502B" w14:textId="77777777" w:rsidR="00FB44CD" w:rsidRPr="001B1089" w:rsidRDefault="00FB44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73A35F8B" w14:textId="77777777" w:rsidR="00247ECF" w:rsidRPr="001B1089" w:rsidRDefault="00247ECF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7.    Tituly</w:t>
      </w:r>
    </w:p>
    <w:p w14:paraId="4883C6E2" w14:textId="000A8644" w:rsidR="008E79D6" w:rsidRPr="001B1089" w:rsidRDefault="00247ECF" w:rsidP="00640D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         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Vítěz této soutěže získává titul „Mistr České republiky v házené starší</w:t>
      </w:r>
      <w:r w:rsidR="008944D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ch žáků pro soutěžní ročník </w:t>
      </w:r>
      <w:r w:rsidR="00932ED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932ED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“, resp. „Mistr České republiky v házené starších žák</w:t>
      </w:r>
      <w:r w:rsidR="008944D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yň pro soutěžní ročník </w:t>
      </w:r>
      <w:r w:rsidR="00932ED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932ED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/202</w:t>
      </w:r>
      <w:r w:rsidR="005E03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="008E79D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“.</w:t>
      </w:r>
    </w:p>
    <w:p w14:paraId="178B805D" w14:textId="77777777" w:rsidR="00247ECF" w:rsidRPr="001B1089" w:rsidRDefault="008E79D6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8.    Termínová listina</w:t>
      </w:r>
    </w:p>
    <w:p w14:paraId="5DC820B6" w14:textId="77777777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Termíny jednotlivých kol byly stanoveny Komisí mládeže. Pořadatel má právo stanovit termín jednodenního turnaje na sobotu nebo neděli dle svého uvážení, tuto volbu však již nemůže měnit v době </w:t>
      </w:r>
      <w:r w:rsidR="00C320F2" w:rsidRPr="001B108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30</w:t>
      </w:r>
      <w:r w:rsidRPr="001B108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dní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před turnajem.</w:t>
      </w:r>
    </w:p>
    <w:p w14:paraId="619BD768" w14:textId="77777777" w:rsidR="00247ECF" w:rsidRPr="001B1089" w:rsidRDefault="00247ECF" w:rsidP="00247ECF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</w:p>
    <w:tbl>
      <w:tblPr>
        <w:tblW w:w="49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2660"/>
        <w:gridCol w:w="3247"/>
      </w:tblGrid>
      <w:tr w:rsidR="001B1089" w:rsidRPr="001B1089" w14:paraId="067EEB38" w14:textId="77777777" w:rsidTr="00247ECF">
        <w:trPr>
          <w:trHeight w:val="350"/>
          <w:tblCellSpacing w:w="0" w:type="dxa"/>
        </w:trPr>
        <w:tc>
          <w:tcPr>
            <w:tcW w:w="1731" w:type="pct"/>
            <w:vAlign w:val="center"/>
            <w:hideMark/>
          </w:tcPr>
          <w:p w14:paraId="32A3A333" w14:textId="77777777" w:rsidR="00247ECF" w:rsidRPr="001B1089" w:rsidRDefault="00247ECF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Kvalifikační předkolo</w:t>
            </w:r>
          </w:p>
        </w:tc>
        <w:tc>
          <w:tcPr>
            <w:tcW w:w="1472" w:type="pct"/>
            <w:vAlign w:val="center"/>
            <w:hideMark/>
          </w:tcPr>
          <w:p w14:paraId="4AB89D04" w14:textId="68AA684F" w:rsidR="00247ECF" w:rsidRPr="001B1089" w:rsidRDefault="00672D83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16. – 17. 11. 2024</w:t>
            </w:r>
          </w:p>
        </w:tc>
        <w:tc>
          <w:tcPr>
            <w:tcW w:w="1797" w:type="pct"/>
            <w:vAlign w:val="center"/>
            <w:hideMark/>
          </w:tcPr>
          <w:p w14:paraId="276C72DA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Dívky</w:t>
            </w:r>
          </w:p>
        </w:tc>
      </w:tr>
      <w:tr w:rsidR="001B1089" w:rsidRPr="001B1089" w14:paraId="6BB72C39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4E126489" w14:textId="77777777" w:rsidR="00247ECF" w:rsidRPr="001B1089" w:rsidRDefault="00247ECF" w:rsidP="00247E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1472" w:type="pct"/>
            <w:vAlign w:val="center"/>
            <w:hideMark/>
          </w:tcPr>
          <w:p w14:paraId="32A7C784" w14:textId="22A03A08" w:rsidR="00247ECF" w:rsidRPr="001B1089" w:rsidRDefault="00AD6703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23. – 24. 11. 2024</w:t>
            </w:r>
          </w:p>
        </w:tc>
        <w:tc>
          <w:tcPr>
            <w:tcW w:w="1797" w:type="pct"/>
            <w:vAlign w:val="center"/>
            <w:hideMark/>
          </w:tcPr>
          <w:p w14:paraId="699DF46F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Chlapci</w:t>
            </w:r>
          </w:p>
        </w:tc>
      </w:tr>
      <w:tr w:rsidR="001B1089" w:rsidRPr="001B1089" w14:paraId="62773328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6D28881B" w14:textId="77777777" w:rsidR="00247ECF" w:rsidRPr="001B1089" w:rsidRDefault="00247ECF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1. kolo</w:t>
            </w:r>
          </w:p>
        </w:tc>
        <w:tc>
          <w:tcPr>
            <w:tcW w:w="1472" w:type="pct"/>
            <w:vAlign w:val="center"/>
            <w:hideMark/>
          </w:tcPr>
          <w:p w14:paraId="46FA6852" w14:textId="73EF31EA" w:rsidR="00247ECF" w:rsidRPr="001B1089" w:rsidRDefault="007B5FCC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07. – 08. 12. 2024</w:t>
            </w:r>
          </w:p>
        </w:tc>
        <w:tc>
          <w:tcPr>
            <w:tcW w:w="1797" w:type="pct"/>
            <w:vAlign w:val="center"/>
            <w:hideMark/>
          </w:tcPr>
          <w:p w14:paraId="0F80FD0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Dívky</w:t>
            </w:r>
          </w:p>
        </w:tc>
      </w:tr>
      <w:tr w:rsidR="001B1089" w:rsidRPr="001B1089" w14:paraId="09DAF75A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11F261EC" w14:textId="77777777" w:rsidR="00247ECF" w:rsidRPr="001B1089" w:rsidRDefault="00247ECF" w:rsidP="00247E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1472" w:type="pct"/>
            <w:vAlign w:val="center"/>
            <w:hideMark/>
          </w:tcPr>
          <w:p w14:paraId="1AA34CCA" w14:textId="36E5FD2C" w:rsidR="00247ECF" w:rsidRPr="001B1089" w:rsidRDefault="00445DD0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14. – 15. 12. 2024</w:t>
            </w:r>
          </w:p>
        </w:tc>
        <w:tc>
          <w:tcPr>
            <w:tcW w:w="1797" w:type="pct"/>
            <w:vAlign w:val="center"/>
            <w:hideMark/>
          </w:tcPr>
          <w:p w14:paraId="05C5A1C0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Chlapci</w:t>
            </w:r>
          </w:p>
        </w:tc>
      </w:tr>
      <w:tr w:rsidR="001B1089" w:rsidRPr="001B1089" w14:paraId="7CD54895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304FFECE" w14:textId="77777777" w:rsidR="00247ECF" w:rsidRPr="001B1089" w:rsidRDefault="00247ECF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2. kolo</w:t>
            </w:r>
          </w:p>
        </w:tc>
        <w:tc>
          <w:tcPr>
            <w:tcW w:w="1472" w:type="pct"/>
            <w:vAlign w:val="center"/>
            <w:hideMark/>
          </w:tcPr>
          <w:p w14:paraId="07EEE6C7" w14:textId="415C4578" w:rsidR="00247ECF" w:rsidRPr="001B1089" w:rsidRDefault="00E915FA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11. – 12. 01. 2025</w:t>
            </w:r>
          </w:p>
        </w:tc>
        <w:tc>
          <w:tcPr>
            <w:tcW w:w="1797" w:type="pct"/>
            <w:vAlign w:val="center"/>
            <w:hideMark/>
          </w:tcPr>
          <w:p w14:paraId="73180DC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Dívky</w:t>
            </w:r>
          </w:p>
        </w:tc>
      </w:tr>
      <w:tr w:rsidR="001B1089" w:rsidRPr="001B1089" w14:paraId="62FB102A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1D4E6C73" w14:textId="77777777" w:rsidR="00247ECF" w:rsidRPr="001B1089" w:rsidRDefault="00247ECF" w:rsidP="00247E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1472" w:type="pct"/>
            <w:vAlign w:val="center"/>
            <w:hideMark/>
          </w:tcPr>
          <w:p w14:paraId="64A3360A" w14:textId="7D741F0B" w:rsidR="00247ECF" w:rsidRPr="001B1089" w:rsidRDefault="006C165F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18. – 19. 01. 2025</w:t>
            </w:r>
          </w:p>
        </w:tc>
        <w:tc>
          <w:tcPr>
            <w:tcW w:w="1797" w:type="pct"/>
            <w:vAlign w:val="center"/>
            <w:hideMark/>
          </w:tcPr>
          <w:p w14:paraId="645D1BA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Chlapci</w:t>
            </w:r>
          </w:p>
        </w:tc>
      </w:tr>
      <w:tr w:rsidR="001B1089" w:rsidRPr="001B1089" w14:paraId="135827D7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54A7F911" w14:textId="77777777" w:rsidR="00247ECF" w:rsidRPr="001B1089" w:rsidRDefault="00247ECF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3. kolo</w:t>
            </w:r>
          </w:p>
        </w:tc>
        <w:tc>
          <w:tcPr>
            <w:tcW w:w="1472" w:type="pct"/>
            <w:vAlign w:val="center"/>
            <w:hideMark/>
          </w:tcPr>
          <w:p w14:paraId="4B0AEAE6" w14:textId="7CF6A239" w:rsidR="00247ECF" w:rsidRPr="001B1089" w:rsidRDefault="00D33BB6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08. – 09. 02. 2025</w:t>
            </w:r>
          </w:p>
        </w:tc>
        <w:tc>
          <w:tcPr>
            <w:tcW w:w="1797" w:type="pct"/>
            <w:vAlign w:val="center"/>
            <w:hideMark/>
          </w:tcPr>
          <w:p w14:paraId="7CE25EB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Dívky</w:t>
            </w:r>
          </w:p>
        </w:tc>
      </w:tr>
      <w:tr w:rsidR="001B1089" w:rsidRPr="001B1089" w14:paraId="3B651C96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37FD0DBE" w14:textId="77777777" w:rsidR="00247ECF" w:rsidRPr="001B1089" w:rsidRDefault="00247ECF" w:rsidP="00247E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1472" w:type="pct"/>
            <w:vAlign w:val="center"/>
            <w:hideMark/>
          </w:tcPr>
          <w:p w14:paraId="0204F311" w14:textId="23C44A93" w:rsidR="00247ECF" w:rsidRPr="001B1089" w:rsidRDefault="00EF4C51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15. – 16. 02. 2025</w:t>
            </w:r>
          </w:p>
        </w:tc>
        <w:tc>
          <w:tcPr>
            <w:tcW w:w="1797" w:type="pct"/>
            <w:vAlign w:val="center"/>
            <w:hideMark/>
          </w:tcPr>
          <w:p w14:paraId="12ED79C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Chlapci</w:t>
            </w:r>
          </w:p>
        </w:tc>
      </w:tr>
      <w:tr w:rsidR="001B1089" w:rsidRPr="001B1089" w14:paraId="0E757BF4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310682CE" w14:textId="77777777" w:rsidR="00247ECF" w:rsidRPr="001B1089" w:rsidRDefault="00247ECF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4. kolo</w:t>
            </w:r>
          </w:p>
        </w:tc>
        <w:tc>
          <w:tcPr>
            <w:tcW w:w="1472" w:type="pct"/>
            <w:vAlign w:val="center"/>
            <w:hideMark/>
          </w:tcPr>
          <w:p w14:paraId="61D4EA48" w14:textId="3A5E6B19" w:rsidR="00247ECF" w:rsidRPr="001B1089" w:rsidRDefault="00210A3E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01. – 02. 03. 2025</w:t>
            </w:r>
          </w:p>
        </w:tc>
        <w:tc>
          <w:tcPr>
            <w:tcW w:w="1797" w:type="pct"/>
            <w:vAlign w:val="center"/>
            <w:hideMark/>
          </w:tcPr>
          <w:p w14:paraId="402CB701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Dívky</w:t>
            </w:r>
          </w:p>
        </w:tc>
      </w:tr>
      <w:tr w:rsidR="001B1089" w:rsidRPr="001B1089" w14:paraId="559839D7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4C210A45" w14:textId="77777777" w:rsidR="00247ECF" w:rsidRPr="001B1089" w:rsidRDefault="00247ECF" w:rsidP="00247E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1472" w:type="pct"/>
            <w:vAlign w:val="center"/>
            <w:hideMark/>
          </w:tcPr>
          <w:p w14:paraId="2A93CF9C" w14:textId="39DD4620" w:rsidR="00247ECF" w:rsidRPr="001B1089" w:rsidRDefault="00920FCF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08. – 09. 03. 2025</w:t>
            </w:r>
          </w:p>
        </w:tc>
        <w:tc>
          <w:tcPr>
            <w:tcW w:w="1797" w:type="pct"/>
            <w:vAlign w:val="center"/>
            <w:hideMark/>
          </w:tcPr>
          <w:p w14:paraId="039065A6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Chlapci</w:t>
            </w:r>
          </w:p>
        </w:tc>
      </w:tr>
      <w:tr w:rsidR="001B1089" w:rsidRPr="001B1089" w14:paraId="3A961A1B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4BEFD136" w14:textId="77777777" w:rsidR="00247ECF" w:rsidRPr="001B1089" w:rsidRDefault="00247ECF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5. kolo</w:t>
            </w:r>
          </w:p>
        </w:tc>
        <w:tc>
          <w:tcPr>
            <w:tcW w:w="1472" w:type="pct"/>
            <w:vAlign w:val="center"/>
            <w:hideMark/>
          </w:tcPr>
          <w:p w14:paraId="4A39D1DE" w14:textId="5FA7B32B" w:rsidR="00247ECF" w:rsidRPr="001B1089" w:rsidRDefault="00351CA9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05. – 06. 04. 2025</w:t>
            </w:r>
          </w:p>
        </w:tc>
        <w:tc>
          <w:tcPr>
            <w:tcW w:w="1797" w:type="pct"/>
            <w:vAlign w:val="center"/>
            <w:hideMark/>
          </w:tcPr>
          <w:p w14:paraId="273515E8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Dívky</w:t>
            </w:r>
          </w:p>
        </w:tc>
      </w:tr>
      <w:tr w:rsidR="001B1089" w:rsidRPr="001B1089" w14:paraId="7963B7B8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2B7459D2" w14:textId="77777777" w:rsidR="00247ECF" w:rsidRPr="001B1089" w:rsidRDefault="00247ECF" w:rsidP="00247E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1472" w:type="pct"/>
            <w:vAlign w:val="center"/>
            <w:hideMark/>
          </w:tcPr>
          <w:p w14:paraId="29A6A93A" w14:textId="673A13C1" w:rsidR="00247ECF" w:rsidRPr="001B1089" w:rsidRDefault="00E9773A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12. – 13. 04. 2025</w:t>
            </w:r>
          </w:p>
        </w:tc>
        <w:tc>
          <w:tcPr>
            <w:tcW w:w="1797" w:type="pct"/>
            <w:vAlign w:val="center"/>
            <w:hideMark/>
          </w:tcPr>
          <w:p w14:paraId="79B6EB09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Chlapci</w:t>
            </w:r>
          </w:p>
        </w:tc>
      </w:tr>
      <w:tr w:rsidR="001B1089" w:rsidRPr="001B1089" w14:paraId="2CE0F46D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018C0D00" w14:textId="77777777" w:rsidR="00247ECF" w:rsidRPr="001B1089" w:rsidRDefault="00247ECF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6. kolo</w:t>
            </w:r>
          </w:p>
        </w:tc>
        <w:tc>
          <w:tcPr>
            <w:tcW w:w="1472" w:type="pct"/>
            <w:vAlign w:val="center"/>
            <w:hideMark/>
          </w:tcPr>
          <w:p w14:paraId="74DB75EA" w14:textId="5DBE43E3" w:rsidR="00247ECF" w:rsidRPr="001B1089" w:rsidRDefault="00710189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>03. – 04. 05. 2025</w:t>
            </w:r>
          </w:p>
        </w:tc>
        <w:tc>
          <w:tcPr>
            <w:tcW w:w="1797" w:type="pct"/>
            <w:vAlign w:val="center"/>
            <w:hideMark/>
          </w:tcPr>
          <w:p w14:paraId="224785B3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Dívky</w:t>
            </w:r>
          </w:p>
        </w:tc>
      </w:tr>
      <w:tr w:rsidR="001B1089" w:rsidRPr="001B1089" w14:paraId="01BDE273" w14:textId="77777777" w:rsidTr="00247ECF">
        <w:trPr>
          <w:trHeight w:val="365"/>
          <w:tblCellSpacing w:w="0" w:type="dxa"/>
        </w:trPr>
        <w:tc>
          <w:tcPr>
            <w:tcW w:w="1731" w:type="pct"/>
            <w:vAlign w:val="center"/>
            <w:hideMark/>
          </w:tcPr>
          <w:p w14:paraId="4D0DCF9D" w14:textId="77777777" w:rsidR="00247ECF" w:rsidRPr="001B1089" w:rsidRDefault="00247ECF" w:rsidP="00247E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 </w:t>
            </w:r>
          </w:p>
        </w:tc>
        <w:tc>
          <w:tcPr>
            <w:tcW w:w="1472" w:type="pct"/>
            <w:vAlign w:val="center"/>
            <w:hideMark/>
          </w:tcPr>
          <w:p w14:paraId="25E2A7F5" w14:textId="421B625D" w:rsidR="00247ECF" w:rsidRPr="001B1089" w:rsidRDefault="00794250" w:rsidP="00247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ahoma" w:hAnsi="Tahoma" w:cs="Tahoma"/>
                <w:b/>
              </w:rPr>
              <w:t xml:space="preserve"> </w:t>
            </w:r>
            <w:r w:rsidR="007914FE" w:rsidRPr="001B1089">
              <w:rPr>
                <w:rFonts w:ascii="Tahoma" w:hAnsi="Tahoma" w:cs="Tahoma"/>
                <w:b/>
              </w:rPr>
              <w:t>17. – 18. 05. 2025</w:t>
            </w:r>
          </w:p>
        </w:tc>
        <w:tc>
          <w:tcPr>
            <w:tcW w:w="1797" w:type="pct"/>
            <w:vAlign w:val="center"/>
            <w:hideMark/>
          </w:tcPr>
          <w:p w14:paraId="03522764" w14:textId="77777777" w:rsidR="00247ECF" w:rsidRPr="001B1089" w:rsidRDefault="00247ECF" w:rsidP="00247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cs-CZ"/>
              </w:rPr>
              <w:t>Chlapci</w:t>
            </w:r>
          </w:p>
        </w:tc>
      </w:tr>
    </w:tbl>
    <w:p w14:paraId="6CA51551" w14:textId="7777777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2FB677" w14:textId="77777777" w:rsidR="00247ECF" w:rsidRPr="001B1089" w:rsidRDefault="00247ECF" w:rsidP="0024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 w:type="page"/>
      </w:r>
    </w:p>
    <w:p w14:paraId="5BC46E18" w14:textId="1D3D9038" w:rsidR="00247ECF" w:rsidRPr="001B1089" w:rsidRDefault="00247ECF" w:rsidP="00640D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lastRenderedPageBreak/>
        <w:t xml:space="preserve">Technická část </w:t>
      </w:r>
    </w:p>
    <w:p w14:paraId="19C07F57" w14:textId="77777777" w:rsidR="00247ECF" w:rsidRPr="001B1089" w:rsidRDefault="008E79D6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9.    Předpis</w:t>
      </w:r>
    </w:p>
    <w:p w14:paraId="08E1E04F" w14:textId="69054016" w:rsidR="00247ECF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 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Hraje se podle pravidel házené IHF, </w:t>
      </w:r>
      <w:r w:rsidR="0006408B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Herního konceptu mládeže, </w:t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dalších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platných směrnic ČSH a podle všech ustanovení tohoto rozpisu.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30BBF72" w14:textId="6178CECC" w:rsidR="00F67AB7" w:rsidRPr="00232B7B" w:rsidRDefault="00F67AB7" w:rsidP="00F67A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Obě družstva jsou povinna </w:t>
      </w:r>
      <w:r w:rsidR="00A34502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po celou dobu </w:t>
      </w:r>
      <w:r w:rsidR="008C51EE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prvního poločasu</w:t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hrát obranný systém</w:t>
      </w:r>
      <w:r w:rsidR="00A34502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3:3:</w:t>
      </w:r>
    </w:p>
    <w:p w14:paraId="24BC794B" w14:textId="77777777" w:rsidR="00F67AB7" w:rsidRPr="00232B7B" w:rsidRDefault="00F67AB7" w:rsidP="00F67AB7">
      <w:p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•</w:t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 xml:space="preserve">Nejméně tři hráči bránícího družstva stojí/brání ve výchozím postavení před čárou volného hodu a postavení se snaží udržovat, nejsou-li herní situací nuceni jej změnit. </w:t>
      </w:r>
    </w:p>
    <w:p w14:paraId="0783B5BF" w14:textId="5C40A4A1" w:rsidR="00774D96" w:rsidRDefault="00F67AB7" w:rsidP="00774D96">
      <w:p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•</w:t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V prostoru mezi čárou volného hodu a čárou brankoviště je povoleno volné i těsné obsazení</w:t>
      </w:r>
      <w:r w:rsidR="00774D96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36F897C5" w14:textId="48C21E1D" w:rsidR="00774D96" w:rsidRDefault="00774D96" w:rsidP="00774D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Po celou dobru prvního poločasu, kdy jsou povinna družstva hrát obranný systém 3:3, je zakázána útočícímu družstvu výměna hráče navíc za brankáře. </w:t>
      </w:r>
    </w:p>
    <w:p w14:paraId="5A0A0860" w14:textId="376DB628" w:rsidR="009F1351" w:rsidRDefault="009F1351" w:rsidP="00774D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V případě, že je bránící družstvo v početní nevýhodě (vyloučení), je povolen obranný systém 0:5.</w:t>
      </w:r>
    </w:p>
    <w:p w14:paraId="39E26A73" w14:textId="2D6D4B3B" w:rsidR="00232B7B" w:rsidRPr="00232B7B" w:rsidRDefault="00232B7B" w:rsidP="00232B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bookmarkStart w:id="1" w:name="_Hlk164858657"/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Po celou dobu druhého poločasu je povolen libovolný obranný systém s výjimkou kombinované obrany.</w:t>
      </w:r>
    </w:p>
    <w:bookmarkEnd w:id="1"/>
    <w:p w14:paraId="5C66F6E9" w14:textId="77777777" w:rsidR="00847590" w:rsidRPr="001B1089" w:rsidRDefault="00847590" w:rsidP="008475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1B1089">
        <w:rPr>
          <w:b/>
          <w:bCs/>
        </w:rPr>
        <w:tab/>
      </w:r>
      <w:r w:rsidRPr="001B1089">
        <w:rPr>
          <w:rFonts w:ascii="Times New Roman" w:hAnsi="Times New Roman" w:cs="Times New Roman"/>
          <w:b/>
          <w:bCs/>
          <w:sz w:val="28"/>
        </w:rPr>
        <w:t>Zákaz kombinované obrany po celou dobu utkání</w:t>
      </w:r>
    </w:p>
    <w:p w14:paraId="751B3C08" w14:textId="4C8837FF" w:rsidR="00847590" w:rsidRPr="001B1089" w:rsidRDefault="00847590" w:rsidP="0084759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1B1089">
        <w:rPr>
          <w:rFonts w:ascii="Times New Roman" w:hAnsi="Times New Roman" w:cs="Times New Roman"/>
          <w:sz w:val="28"/>
        </w:rPr>
        <w:t>Za kombinovanou obranu se považuje, když jeden nebo více útočníků (ne</w:t>
      </w:r>
      <w:r w:rsidR="00191322" w:rsidRPr="001B1089">
        <w:rPr>
          <w:rFonts w:ascii="Times New Roman" w:hAnsi="Times New Roman" w:cs="Times New Roman"/>
          <w:sz w:val="28"/>
        </w:rPr>
        <w:t> </w:t>
      </w:r>
      <w:r w:rsidRPr="001B1089">
        <w:rPr>
          <w:rFonts w:ascii="Times New Roman" w:hAnsi="Times New Roman" w:cs="Times New Roman"/>
          <w:sz w:val="28"/>
        </w:rPr>
        <w:t>však všichni) jsou bráněni osobně za čarou volného hodu tak, že jim obránce zamezuje přijímat přihrávky od spoluhráčů.</w:t>
      </w:r>
    </w:p>
    <w:p w14:paraId="30DAF49F" w14:textId="0E4027D3" w:rsidR="00847590" w:rsidRPr="001B1089" w:rsidRDefault="00847590" w:rsidP="0084759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 w:rsidRPr="001B1089">
        <w:rPr>
          <w:rFonts w:ascii="Times New Roman" w:hAnsi="Times New Roman" w:cs="Times New Roman"/>
          <w:sz w:val="28"/>
        </w:rPr>
        <w:t xml:space="preserve">Povolen je však kombinovaný obranný systém, kde jsou osobně bráněni pouze </w:t>
      </w:r>
      <w:proofErr w:type="spellStart"/>
      <w:r w:rsidRPr="001B1089">
        <w:rPr>
          <w:rFonts w:ascii="Times New Roman" w:hAnsi="Times New Roman" w:cs="Times New Roman"/>
          <w:sz w:val="28"/>
        </w:rPr>
        <w:t>pivoti</w:t>
      </w:r>
      <w:proofErr w:type="spellEnd"/>
      <w:r w:rsidRPr="001B1089">
        <w:rPr>
          <w:rFonts w:ascii="Times New Roman" w:hAnsi="Times New Roman" w:cs="Times New Roman"/>
          <w:sz w:val="28"/>
        </w:rPr>
        <w:t>.</w:t>
      </w:r>
    </w:p>
    <w:p w14:paraId="5AE73906" w14:textId="2F5CC5E6" w:rsidR="00232B7B" w:rsidRDefault="00847590" w:rsidP="00847590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B1089">
        <w:rPr>
          <w:rFonts w:ascii="Times New Roman" w:hAnsi="Times New Roman" w:cs="Times New Roman"/>
          <w:sz w:val="28"/>
        </w:rPr>
        <w:t>V případě prvního porušení tohoto pravidla v utkání rozhodčí přeruší hru a upozorní odpovědného vedoucího daného týmu. V případě dalšího porušení tohoto pravidla je osobně bránícímu hráči udělen dvouminutový trest.</w:t>
      </w:r>
    </w:p>
    <w:p w14:paraId="1520DC7A" w14:textId="77777777" w:rsidR="00232B7B" w:rsidRDefault="00232B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3837D09" w14:textId="4C69FB7A" w:rsidR="00847590" w:rsidRPr="001B1089" w:rsidRDefault="00803BA3" w:rsidP="0084759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63DA3FB" wp14:editId="716A167C">
            <wp:simplePos x="0" y="0"/>
            <wp:positionH relativeFrom="column">
              <wp:posOffset>3291205</wp:posOffset>
            </wp:positionH>
            <wp:positionV relativeFrom="paragraph">
              <wp:posOffset>386080</wp:posOffset>
            </wp:positionV>
            <wp:extent cx="2266950" cy="2266950"/>
            <wp:effectExtent l="0" t="0" r="0" b="0"/>
            <wp:wrapTopAndBottom/>
            <wp:docPr id="297207251" name="Obrázek 2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07251" name="Obrázek 2" descr="Obsah obrázku snímek obrazovky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8124B61" wp14:editId="18E14E77">
            <wp:simplePos x="0" y="0"/>
            <wp:positionH relativeFrom="column">
              <wp:posOffset>262255</wp:posOffset>
            </wp:positionH>
            <wp:positionV relativeFrom="paragraph">
              <wp:posOffset>386080</wp:posOffset>
            </wp:positionV>
            <wp:extent cx="2266950" cy="2266950"/>
            <wp:effectExtent l="0" t="0" r="0" b="0"/>
            <wp:wrapSquare wrapText="bothSides"/>
            <wp:docPr id="766190571" name="Obrázek 1" descr="Obsah obrázku snímek obrazovky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90571" name="Obrázek 1" descr="Obsah obrázku snímek obrazovky, kreslené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590" w:rsidRPr="001B1089">
        <w:rPr>
          <w:rFonts w:ascii="Times New Roman" w:hAnsi="Times New Roman" w:cs="Times New Roman"/>
          <w:sz w:val="28"/>
        </w:rPr>
        <w:t>           Příklady kombinovaného obranného systému 1 + 5 a 2 + 4</w:t>
      </w:r>
    </w:p>
    <w:p w14:paraId="339D586A" w14:textId="154B3060" w:rsidR="006A3DAE" w:rsidRPr="00232B7B" w:rsidRDefault="006A3DAE" w:rsidP="00232B7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31D243" w14:textId="118835DF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Úpravy pravidel:</w:t>
      </w:r>
    </w:p>
    <w:p w14:paraId="215C4928" w14:textId="31260B9E" w:rsidR="00247ECF" w:rsidRPr="00232B7B" w:rsidRDefault="00247ECF" w:rsidP="0053268A">
      <w:pPr>
        <w:pStyle w:val="Odstavecseseznamem"/>
        <w:numPr>
          <w:ilvl w:val="0"/>
          <w:numId w:val="25"/>
        </w:numPr>
        <w:tabs>
          <w:tab w:val="left" w:pos="1418"/>
        </w:tabs>
        <w:spacing w:before="100" w:beforeAutospacing="1" w:after="0" w:line="240" w:lineRule="auto"/>
        <w:ind w:left="1418" w:hanging="2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4:1</w:t>
      </w:r>
      <w:r w:rsidR="00CA26D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V utkání ŽL mohou družstva nastoupit s nejvýše 16</w:t>
      </w:r>
      <w:r w:rsidR="009151E8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hráči.</w:t>
      </w:r>
    </w:p>
    <w:p w14:paraId="6C6F3DD3" w14:textId="6A194BC2" w:rsidR="00247ECF" w:rsidRPr="00232B7B" w:rsidRDefault="00247ECF" w:rsidP="0053268A">
      <w:pPr>
        <w:pStyle w:val="Odstavecseseznamem"/>
        <w:numPr>
          <w:ilvl w:val="0"/>
          <w:numId w:val="25"/>
        </w:numPr>
        <w:tabs>
          <w:tab w:val="left" w:pos="1418"/>
        </w:tabs>
        <w:spacing w:before="100" w:beforeAutospacing="1" w:after="0" w:line="240" w:lineRule="auto"/>
        <w:ind w:left="1418" w:hanging="2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4:1</w:t>
      </w:r>
      <w:r w:rsidR="00CA26D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CA26D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Na základě rozhodnutí orgánů ČSH se v</w:t>
      </w:r>
      <w:r w:rsidR="009151E8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ŽL neuplatňuje pravidlo</w:t>
      </w:r>
      <w:r w:rsidR="009151E8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4:11, druhý a třetí odstavec, o omezení pro hráče, který byl ošetřován</w:t>
      </w:r>
      <w:r w:rsidR="00191322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na</w:t>
      </w:r>
      <w:r w:rsidR="009151E8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hrací ploše.</w:t>
      </w:r>
    </w:p>
    <w:p w14:paraId="02A3ADA2" w14:textId="363466A9" w:rsidR="00247ECF" w:rsidRPr="001B1089" w:rsidRDefault="0066775D" w:rsidP="0053268A">
      <w:pPr>
        <w:pStyle w:val="Odstavecseseznamem"/>
        <w:numPr>
          <w:ilvl w:val="0"/>
          <w:numId w:val="25"/>
        </w:numPr>
        <w:tabs>
          <w:tab w:val="left" w:pos="1418"/>
        </w:tabs>
        <w:spacing w:before="100" w:beforeAutospacing="1" w:after="0" w:line="240" w:lineRule="auto"/>
        <w:ind w:left="1418" w:hanging="2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2:10</w:t>
      </w:r>
      <w:r w:rsidR="00CA26D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="00247EC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Pravidlo o </w:t>
      </w:r>
      <w:proofErr w:type="spellStart"/>
      <w:r w:rsidR="00247EC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time</w:t>
      </w:r>
      <w:proofErr w:type="spellEnd"/>
      <w:r w:rsidR="00247EC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-outu družstva (team </w:t>
      </w:r>
      <w:proofErr w:type="spellStart"/>
      <w:r w:rsidR="00247EC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time</w:t>
      </w:r>
      <w:proofErr w:type="spellEnd"/>
      <w:r w:rsidR="00247EC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-out): Každé družstvo má 3 </w:t>
      </w:r>
      <w:proofErr w:type="spellStart"/>
      <w:r w:rsidR="00247EC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time</w:t>
      </w:r>
      <w:proofErr w:type="spellEnd"/>
      <w:r w:rsidR="00247EC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-outy 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družstva (TTO) v délce jedné minuty během řádné hrací doby utkání. Družstvo si však může vyžádat nejvýše dva</w:t>
      </w:r>
      <w:r w:rsidR="0019540F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proofErr w:type="spellStart"/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time</w:t>
      </w:r>
      <w:proofErr w:type="spellEnd"/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-outy</w:t>
      </w:r>
      <w:r w:rsidR="0019540F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družstva v průběhu jednoho poločasu utkání a nejvýše jeden</w:t>
      </w:r>
      <w:r w:rsidR="0027136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proofErr w:type="spellStart"/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time</w:t>
      </w:r>
      <w:proofErr w:type="spellEnd"/>
      <w:r w:rsidR="00271369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-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out družstva v posledních 5</w:t>
      </w:r>
      <w:r w:rsidR="009151E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minutác</w:t>
      </w:r>
      <w:r w:rsidR="00D5527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 řádné hrací doby utkání (pravi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dla IHF, vysvětlivka č. 3).</w:t>
      </w:r>
    </w:p>
    <w:p w14:paraId="5C48DB91" w14:textId="4EA21FEB" w:rsidR="00247ECF" w:rsidRPr="001B1089" w:rsidRDefault="00247ECF" w:rsidP="00A11DC8">
      <w:pPr>
        <w:tabs>
          <w:tab w:val="left" w:pos="709"/>
        </w:tabs>
        <w:spacing w:before="100" w:beforeAutospacing="1" w:after="0" w:line="240" w:lineRule="auto"/>
        <w:ind w:hanging="2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 xml:space="preserve">Do žákovské ligy může jeden klub přihlásit 2 družstva, pokud jsou dodrženy podmínky uvedené v čl. 1 resp. čl. 2 tohoto rozpisu </w:t>
      </w:r>
      <w:r w:rsidR="008944D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 pokud předloží do 1</w:t>
      </w:r>
      <w:r w:rsidR="0097028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0</w:t>
      </w:r>
      <w:r w:rsidR="008944D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11. 20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7F345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F418F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pro kategorii dívek a do </w:t>
      </w:r>
      <w:r w:rsidR="00850F9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17. 11. 2024 pro kategorii chlapců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řídícímu soutěže úplné seznamy hráčů družstev potvrzené oddílem. Hráč (-</w:t>
      </w:r>
      <w:proofErr w:type="spellStart"/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ka</w:t>
      </w:r>
      <w:proofErr w:type="spellEnd"/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), který (-á) není uveden (-a) na seznamu družstva a nastoupí k utkání Žákovské ligy, je automaticky zapsán (-a) na seznam družstva, za které nastoupil (-a) a nemůže již v Žákovské lize nastoupit za jiné družstvo.</w:t>
      </w:r>
    </w:p>
    <w:p w14:paraId="40F514CE" w14:textId="412712E6" w:rsidR="00232B7B" w:rsidRDefault="00247ECF" w:rsidP="00640D6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Pokud je do Žákovské ligy krajským svazem házené nominováno pouze jedno družstvo oddílu, může být toto družstvo složeno ze všech hráčů (-</w:t>
      </w:r>
      <w:proofErr w:type="spellStart"/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ek</w:t>
      </w:r>
      <w:proofErr w:type="spellEnd"/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) tohoto oddílu příslušné věkové kategorie bez ohledu na to, kolik družstev dokončilo podzimní část oblastní soutěže.</w:t>
      </w:r>
    </w:p>
    <w:p w14:paraId="130CE7E9" w14:textId="77777777" w:rsidR="00232B7B" w:rsidRDefault="00232B7B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br w:type="page"/>
      </w:r>
    </w:p>
    <w:p w14:paraId="152BEAFF" w14:textId="39D73DFA" w:rsidR="00247ECF" w:rsidRPr="001B1089" w:rsidRDefault="008E79D6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10. Start hráčů</w:t>
      </w:r>
    </w:p>
    <w:p w14:paraId="50E2E90A" w14:textId="674657E0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 žákovské lize startují starší žáci, resp. starší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žákyně narození mezi 1.</w:t>
      </w:r>
      <w:r w:rsidR="00307CC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1.</w:t>
      </w:r>
      <w:r w:rsidR="00307CC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</w:t>
      </w:r>
      <w:r w:rsidR="0081347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10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31. 12. 20</w:t>
      </w:r>
      <w:r w:rsidR="0081347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11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hráči nejbližší nižší věkové ka</w:t>
      </w:r>
      <w:r w:rsidR="00C320F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tegorie</w:t>
      </w:r>
      <w:r w:rsidR="00D5408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</w:t>
      </w:r>
      <w:r w:rsidR="00C320F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tj. mladší žáci, resp.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mladší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žákyně narození mezi 1. 1. 20</w:t>
      </w:r>
      <w:r w:rsidR="002A7F2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81347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31. 12. 20</w:t>
      </w:r>
      <w:r w:rsidR="00FC2A0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81347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3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Start o </w:t>
      </w:r>
      <w:r w:rsidR="00C320F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dvě kategorie výše není povolen. Žá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ci a žákyně narození v roce 20</w:t>
      </w:r>
      <w:r w:rsidR="002A7F2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81347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C320F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nebo později nemohou v ŽL v žádném případě nastoupit.</w:t>
      </w:r>
    </w:p>
    <w:p w14:paraId="1E41E437" w14:textId="0E6B31D1" w:rsidR="00DE48D0" w:rsidRPr="001B1089" w:rsidRDefault="00247ECF" w:rsidP="00232B7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 utkání nastupují hráči</w:t>
      </w:r>
      <w:r w:rsidR="00AC362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/hráčky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kteří jsou za daný oddíl řádně registrováni a </w:t>
      </w:r>
      <w:r w:rsidR="00CD51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mají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řádně uhr</w:t>
      </w:r>
      <w:r w:rsidR="00CD51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azené veškeré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CD51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členské příspěvky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240BB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36301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Počet hostujících hráčů a hráček se řídí </w:t>
      </w:r>
      <w:r w:rsidR="00BB395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Přestup</w:t>
      </w:r>
      <w:r w:rsidR="003B364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ní</w:t>
      </w:r>
      <w:r w:rsidR="00BB395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m </w:t>
      </w:r>
      <w:r w:rsidR="0062657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řádem ČSH.</w:t>
      </w:r>
      <w:r w:rsidR="00F6209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B10C97"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>V kategorii chlapců není povolen st</w:t>
      </w:r>
      <w:r w:rsidR="00B96122"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>ar</w:t>
      </w:r>
      <w:r w:rsidR="00B10C97"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>t dívek a v kategorii dívek není povolen start chlapců.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Za start hráčů</w:t>
      </w:r>
      <w:r w:rsidR="00B10C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/hráček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je plně</w:t>
      </w:r>
      <w:r w:rsidR="008E79D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zodpovědný klub.</w:t>
      </w:r>
    </w:p>
    <w:p w14:paraId="23C0A7DB" w14:textId="77777777" w:rsidR="00247ECF" w:rsidRPr="001B1089" w:rsidRDefault="00247ECF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11. Všeobecné podmínky startu v Žákovské lize</w:t>
      </w:r>
    </w:p>
    <w:p w14:paraId="30F43F52" w14:textId="77777777" w:rsidR="00247ECF" w:rsidRPr="001B1089" w:rsidRDefault="00247ECF" w:rsidP="00247E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Haly</w:t>
      </w:r>
    </w:p>
    <w:p w14:paraId="252E0090" w14:textId="222B6E9A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      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Žákovská liga je halovou soutěží. Každé družstvo, které je přihlášeno do</w:t>
      </w:r>
      <w:r w:rsidR="00307CC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Žákovské ligy, musí mít k dispozici regulérní halu schválenou ČSH. Družstva, kterým bylo přiděleno pořadatelství turnaje, jej pořádají na hracích plochách sportovních hal v místě, uvedeném oficiálně v přihlášce do soutěže schválené ČSH. Změnu tohoto místa během jednoho soutěžního ročníku (i na jednotlivé turnaje) musí schválit řídící orgán.</w:t>
      </w:r>
    </w:p>
    <w:p w14:paraId="70D84AA2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Zdravotnické vybavení</w:t>
      </w:r>
    </w:p>
    <w:p w14:paraId="34B41D24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       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Pořadatelský klub je povinen zajistit zdravotní službu s vybavením pro první pomoc dle SŘH čl. 28.</w:t>
      </w:r>
      <w:r w:rsidR="00876DD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CD51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odst.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4.</w:t>
      </w:r>
      <w:r w:rsidR="00876DD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f).</w:t>
      </w:r>
    </w:p>
    <w:p w14:paraId="7CCEC451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Dresy</w:t>
      </w:r>
    </w:p>
    <w:p w14:paraId="0FE928C9" w14:textId="6C34686F" w:rsidR="007F114D" w:rsidRPr="001B1089" w:rsidRDefault="00247ECF" w:rsidP="003F4E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      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Každé družstvo je povinno mít dvě barevně rozdílné sady dresů. Pokud rozhodčí dojdou k názoru, že pro rozlišení soupeřů je třeba oblečení změnit, potom změní dresy hostující družstvo (družstvo uvedené v rozlosování turnaje na</w:t>
      </w:r>
      <w:r w:rsidR="00684DF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druhém místě). V případě, že toto družstvo nemá jiné dresy k dispozici, je pořadatel povinen zapůjčit sadu náhradních dresů. Rozhodčí je povinen tuto skutečnost uvést do zápisu o utkání a toto provinění družstva</w:t>
      </w:r>
      <w:r w:rsidR="003F4E3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bude disciplinárně potrestáno.</w:t>
      </w:r>
    </w:p>
    <w:p w14:paraId="31974836" w14:textId="77777777" w:rsidR="007F114D" w:rsidRPr="001B1089" w:rsidRDefault="007F114D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br w:type="page"/>
      </w:r>
    </w:p>
    <w:p w14:paraId="7ECE7132" w14:textId="77777777" w:rsidR="00247ECF" w:rsidRPr="001B1089" w:rsidRDefault="003F4E33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12.  Náležitosti družstev</w:t>
      </w:r>
    </w:p>
    <w:p w14:paraId="50D9849F" w14:textId="77777777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Podmínkou startu více družstev z jednoho klubu v Žákovské lize je seznam hráčů každého družstva v soutěži dle čl. 9. Všechny seznamy musí být potvrzeny odpovědným pracovníkem klubu</w:t>
      </w:r>
      <w:r w:rsidR="005B64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řídícím orgánem ŽL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43C1B289" w14:textId="1EB936B2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Odpovědný vedoucí družstva je povinen se zúčastnit technických schůzek v průběhu turnaje dle pokynů vedoucího turnaje. </w:t>
      </w:r>
      <w:r w:rsidR="005B64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Každé d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ružstvo musí mít na</w:t>
      </w:r>
      <w:r w:rsidR="0070363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5B64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každém turnaji zodpovědného vedoucího a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trenéra s platnou licencí.</w:t>
      </w:r>
      <w:r w:rsidR="005B64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Oba musí být uvedeni v zápisu o utkání.</w:t>
      </w:r>
    </w:p>
    <w:p w14:paraId="3F94BA21" w14:textId="56BBAB23" w:rsidR="00614452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 xml:space="preserve">Turnaj se musí odehrát s míči stanovených velikostí pro jednotlivé kategorie </w:t>
      </w:r>
      <w:r w:rsidR="0061445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dle </w:t>
      </w:r>
      <w:r w:rsidR="00571CC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Herního konceptu mládeže ČSH</w:t>
      </w:r>
      <w:r w:rsidR="0061445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: </w:t>
      </w:r>
    </w:p>
    <w:p w14:paraId="392EB63C" w14:textId="5DFEF40B" w:rsidR="00F62B1E" w:rsidRDefault="00EB719F" w:rsidP="00EB71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cs-CZ"/>
        </w:rPr>
        <w:t>Starší žákyně</w:t>
      </w:r>
    </w:p>
    <w:p w14:paraId="5D22148D" w14:textId="42FAC64A" w:rsidR="00E52C90" w:rsidRPr="005910DC" w:rsidRDefault="00E52C90" w:rsidP="006C496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5910DC">
        <w:rPr>
          <w:rFonts w:ascii="Times New Roman" w:eastAsia="Times New Roman" w:hAnsi="Times New Roman" w:cs="Times New Roman"/>
          <w:sz w:val="28"/>
          <w:szCs w:val="24"/>
          <w:lang w:eastAsia="cs-CZ"/>
        </w:rPr>
        <w:t>Starší žákyně odehrají utkání s</w:t>
      </w:r>
      <w:r w:rsidR="005910DC" w:rsidRPr="005910DC">
        <w:rPr>
          <w:rFonts w:ascii="Times New Roman" w:eastAsia="Times New Roman" w:hAnsi="Times New Roman" w:cs="Times New Roman"/>
          <w:sz w:val="28"/>
          <w:szCs w:val="24"/>
          <w:lang w:eastAsia="cs-CZ"/>
        </w:rPr>
        <w:t> jedním z následujících míčů:</w:t>
      </w:r>
    </w:p>
    <w:p w14:paraId="12B38FD1" w14:textId="75197E65" w:rsidR="000E3DF5" w:rsidRPr="00192668" w:rsidRDefault="00BB1055" w:rsidP="00192668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B1055">
        <w:rPr>
          <w:rStyle w:val="markedcontent"/>
          <w:rFonts w:ascii="Times New Roman" w:hAnsi="Times New Roman" w:cs="Times New Roman"/>
          <w:sz w:val="28"/>
          <w:szCs w:val="28"/>
        </w:rPr>
        <w:t xml:space="preserve">Míč </w:t>
      </w:r>
      <w:r w:rsidR="005F2F83" w:rsidRPr="00BB1055">
        <w:rPr>
          <w:rStyle w:val="markedcontent"/>
          <w:rFonts w:ascii="Times New Roman" w:hAnsi="Times New Roman" w:cs="Times New Roman"/>
          <w:sz w:val="28"/>
          <w:szCs w:val="28"/>
        </w:rPr>
        <w:t xml:space="preserve">vel. 1 IHF </w:t>
      </w:r>
      <w:r w:rsidR="005F2F83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FD5130">
        <w:rPr>
          <w:rStyle w:val="markedcontent"/>
          <w:rFonts w:ascii="Times New Roman" w:hAnsi="Times New Roman" w:cs="Times New Roman"/>
          <w:sz w:val="28"/>
          <w:szCs w:val="28"/>
        </w:rPr>
        <w:t xml:space="preserve"> obvod: </w:t>
      </w:r>
      <w:r w:rsidR="00EB719F" w:rsidRPr="00BB1055">
        <w:rPr>
          <w:rStyle w:val="markedcontent"/>
          <w:rFonts w:ascii="Times New Roman" w:hAnsi="Times New Roman" w:cs="Times New Roman"/>
          <w:sz w:val="28"/>
          <w:szCs w:val="28"/>
        </w:rPr>
        <w:t>50–52 cm (</w:t>
      </w:r>
      <w:r w:rsidR="00FD5130">
        <w:rPr>
          <w:rStyle w:val="markedcontent"/>
          <w:rFonts w:ascii="Times New Roman" w:hAnsi="Times New Roman" w:cs="Times New Roman"/>
          <w:sz w:val="28"/>
          <w:szCs w:val="28"/>
        </w:rPr>
        <w:t xml:space="preserve">váha: </w:t>
      </w:r>
      <w:r w:rsidR="00EB719F" w:rsidRPr="00BB1055">
        <w:rPr>
          <w:rStyle w:val="markedcontent"/>
          <w:rFonts w:ascii="Times New Roman" w:hAnsi="Times New Roman" w:cs="Times New Roman"/>
          <w:sz w:val="28"/>
          <w:szCs w:val="28"/>
        </w:rPr>
        <w:t>290–330 g)</w:t>
      </w:r>
    </w:p>
    <w:p w14:paraId="5B8B3D97" w14:textId="698B2EAF" w:rsidR="006C4962" w:rsidRPr="006C4962" w:rsidRDefault="00EB719F" w:rsidP="006C4962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B1055">
        <w:rPr>
          <w:rStyle w:val="markedcontent"/>
          <w:rFonts w:ascii="Times New Roman" w:hAnsi="Times New Roman" w:cs="Times New Roman"/>
          <w:sz w:val="28"/>
          <w:szCs w:val="28"/>
        </w:rPr>
        <w:t xml:space="preserve">Míč </w:t>
      </w:r>
      <w:r w:rsidR="002859AC">
        <w:rPr>
          <w:rStyle w:val="markedcontent"/>
          <w:rFonts w:ascii="Times New Roman" w:hAnsi="Times New Roman" w:cs="Times New Roman"/>
          <w:sz w:val="28"/>
          <w:szCs w:val="28"/>
        </w:rPr>
        <w:t xml:space="preserve">vel. </w:t>
      </w:r>
      <w:r w:rsidR="00444510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="002859A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55">
        <w:rPr>
          <w:rStyle w:val="markedcontent"/>
          <w:rFonts w:ascii="Times New Roman" w:hAnsi="Times New Roman" w:cs="Times New Roman"/>
          <w:sz w:val="28"/>
          <w:szCs w:val="28"/>
        </w:rPr>
        <w:t>Molten</w:t>
      </w:r>
      <w:proofErr w:type="spellEnd"/>
      <w:r w:rsidRPr="00BB1055">
        <w:rPr>
          <w:rStyle w:val="markedcontent"/>
          <w:rFonts w:ascii="Times New Roman" w:hAnsi="Times New Roman" w:cs="Times New Roman"/>
          <w:sz w:val="28"/>
          <w:szCs w:val="28"/>
        </w:rPr>
        <w:t xml:space="preserve"> H1D4000-BW (D60) </w:t>
      </w:r>
      <w:r w:rsidR="00A26CA1" w:rsidRPr="00BB1055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BB105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055">
        <w:rPr>
          <w:rStyle w:val="markedcontent"/>
          <w:rFonts w:ascii="Times New Roman" w:hAnsi="Times New Roman" w:cs="Times New Roman"/>
          <w:sz w:val="28"/>
          <w:szCs w:val="28"/>
        </w:rPr>
        <w:t>bezlepidlový</w:t>
      </w:r>
      <w:proofErr w:type="spellEnd"/>
    </w:p>
    <w:p w14:paraId="6852BF9A" w14:textId="7282F831" w:rsidR="00EB719F" w:rsidRDefault="00EB719F" w:rsidP="00EB71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Starší žáci</w:t>
      </w:r>
    </w:p>
    <w:p w14:paraId="0712F057" w14:textId="6F9A75BC" w:rsidR="005910DC" w:rsidRPr="005910DC" w:rsidRDefault="005910DC" w:rsidP="006C4962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5910DC">
        <w:rPr>
          <w:rFonts w:ascii="Times New Roman" w:eastAsia="Times New Roman" w:hAnsi="Times New Roman" w:cs="Times New Roman"/>
          <w:sz w:val="28"/>
          <w:szCs w:val="24"/>
          <w:lang w:eastAsia="cs-CZ"/>
        </w:rPr>
        <w:t>Starší žá</w:t>
      </w:r>
      <w:r>
        <w:rPr>
          <w:rFonts w:ascii="Times New Roman" w:eastAsia="Times New Roman" w:hAnsi="Times New Roman" w:cs="Times New Roman"/>
          <w:sz w:val="28"/>
          <w:szCs w:val="24"/>
          <w:lang w:eastAsia="cs-CZ"/>
        </w:rPr>
        <w:t>ci</w:t>
      </w:r>
      <w:r w:rsidRPr="005910DC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odehrají utkání s jedním z následujících míčů:</w:t>
      </w:r>
    </w:p>
    <w:p w14:paraId="498D5727" w14:textId="2FC68C13" w:rsidR="00EB719F" w:rsidRPr="00FB379E" w:rsidRDefault="00FB379E" w:rsidP="00FB379E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B379E">
        <w:rPr>
          <w:rStyle w:val="markedcontent"/>
          <w:rFonts w:ascii="Times New Roman" w:hAnsi="Times New Roman" w:cs="Times New Roman"/>
          <w:sz w:val="28"/>
          <w:szCs w:val="28"/>
        </w:rPr>
        <w:t xml:space="preserve">Míč vel. 1 IHF </w:t>
      </w:r>
      <w:r w:rsidR="00FD5130">
        <w:rPr>
          <w:rStyle w:val="markedcontent"/>
          <w:rFonts w:ascii="Times New Roman" w:hAnsi="Times New Roman" w:cs="Times New Roman"/>
          <w:sz w:val="28"/>
          <w:szCs w:val="28"/>
        </w:rPr>
        <w:t xml:space="preserve">– obvod: </w:t>
      </w:r>
      <w:r w:rsidR="00EB719F" w:rsidRPr="00FB379E">
        <w:rPr>
          <w:rStyle w:val="markedcontent"/>
          <w:rFonts w:ascii="Times New Roman" w:hAnsi="Times New Roman" w:cs="Times New Roman"/>
          <w:sz w:val="28"/>
          <w:szCs w:val="28"/>
        </w:rPr>
        <w:t>50</w:t>
      </w:r>
      <w:r w:rsidR="00A26CA1" w:rsidRPr="00FB379E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EB719F" w:rsidRPr="00FB379E">
        <w:rPr>
          <w:rStyle w:val="markedcontent"/>
          <w:rFonts w:ascii="Times New Roman" w:hAnsi="Times New Roman" w:cs="Times New Roman"/>
          <w:sz w:val="28"/>
          <w:szCs w:val="28"/>
        </w:rPr>
        <w:t>52 cm (</w:t>
      </w:r>
      <w:r w:rsidR="00FD5130">
        <w:rPr>
          <w:rStyle w:val="markedcontent"/>
          <w:rFonts w:ascii="Times New Roman" w:hAnsi="Times New Roman" w:cs="Times New Roman"/>
          <w:sz w:val="28"/>
          <w:szCs w:val="28"/>
        </w:rPr>
        <w:t xml:space="preserve">váha: </w:t>
      </w:r>
      <w:r w:rsidR="00EB719F" w:rsidRPr="00FB379E">
        <w:rPr>
          <w:rStyle w:val="markedcontent"/>
          <w:rFonts w:ascii="Times New Roman" w:hAnsi="Times New Roman" w:cs="Times New Roman"/>
          <w:sz w:val="28"/>
          <w:szCs w:val="28"/>
        </w:rPr>
        <w:t>290</w:t>
      </w:r>
      <w:r w:rsidR="00A26CA1" w:rsidRPr="00FB379E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EB719F" w:rsidRPr="00FB379E">
        <w:rPr>
          <w:rStyle w:val="markedcontent"/>
          <w:rFonts w:ascii="Times New Roman" w:hAnsi="Times New Roman" w:cs="Times New Roman"/>
          <w:sz w:val="28"/>
          <w:szCs w:val="28"/>
        </w:rPr>
        <w:t>330 g)</w:t>
      </w:r>
    </w:p>
    <w:p w14:paraId="4E5555B3" w14:textId="36E4D31A" w:rsidR="00EB719F" w:rsidRPr="00FB379E" w:rsidRDefault="00FB379E" w:rsidP="00FB379E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Míč </w:t>
      </w:r>
      <w:r w:rsidR="00937C7A">
        <w:rPr>
          <w:rStyle w:val="markedcontent"/>
          <w:rFonts w:ascii="Times New Roman" w:hAnsi="Times New Roman" w:cs="Times New Roman"/>
          <w:sz w:val="28"/>
          <w:szCs w:val="28"/>
        </w:rPr>
        <w:t xml:space="preserve">vel. </w:t>
      </w:r>
      <w:r w:rsidR="00444510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937C7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19F" w:rsidRPr="00FB379E">
        <w:rPr>
          <w:rStyle w:val="markedcontent"/>
          <w:rFonts w:ascii="Times New Roman" w:hAnsi="Times New Roman" w:cs="Times New Roman"/>
          <w:sz w:val="28"/>
          <w:szCs w:val="28"/>
        </w:rPr>
        <w:t>Molten</w:t>
      </w:r>
      <w:proofErr w:type="spellEnd"/>
      <w:r w:rsidR="00EB719F" w:rsidRPr="00FB379E">
        <w:rPr>
          <w:rStyle w:val="markedcontent"/>
          <w:rFonts w:ascii="Times New Roman" w:hAnsi="Times New Roman" w:cs="Times New Roman"/>
          <w:sz w:val="28"/>
          <w:szCs w:val="28"/>
        </w:rPr>
        <w:t xml:space="preserve"> H2D5000-BW (D60) </w:t>
      </w:r>
      <w:r w:rsidR="007F114D" w:rsidRPr="00FB379E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7F114D" w:rsidRPr="001B1089">
        <w:t xml:space="preserve"> </w:t>
      </w:r>
      <w:proofErr w:type="spellStart"/>
      <w:r w:rsidR="00EB719F" w:rsidRPr="00FB379E">
        <w:rPr>
          <w:rStyle w:val="markedcontent"/>
          <w:rFonts w:ascii="Times New Roman" w:hAnsi="Times New Roman" w:cs="Times New Roman"/>
          <w:sz w:val="28"/>
          <w:szCs w:val="28"/>
        </w:rPr>
        <w:t>bezlepidlový</w:t>
      </w:r>
      <w:proofErr w:type="spellEnd"/>
    </w:p>
    <w:p w14:paraId="6D48D0B5" w14:textId="68DBC146" w:rsidR="00390A22" w:rsidRDefault="00FD5130" w:rsidP="00390A22">
      <w:pPr>
        <w:spacing w:before="100" w:beforeAutospacing="1"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Za určení míče ke hře je plně zodpovědný pořadatel turnaje.</w:t>
      </w:r>
    </w:p>
    <w:p w14:paraId="023761B1" w14:textId="187E7956" w:rsidR="006A3B5B" w:rsidRDefault="00505AAE" w:rsidP="00390A22">
      <w:pPr>
        <w:spacing w:before="100" w:beforeAutospacing="1"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Používání lepidla</w:t>
      </w:r>
      <w:r w:rsidR="006A3B5B">
        <w:rPr>
          <w:rStyle w:val="markedcontent"/>
          <w:rFonts w:ascii="Times New Roman" w:hAnsi="Times New Roman" w:cs="Times New Roman"/>
          <w:sz w:val="28"/>
          <w:szCs w:val="28"/>
        </w:rPr>
        <w:t xml:space="preserve"> je pro všechna utkání kategori</w:t>
      </w:r>
      <w:r w:rsidR="002F3DBA">
        <w:rPr>
          <w:rStyle w:val="markedcontent"/>
          <w:rFonts w:ascii="Times New Roman" w:hAnsi="Times New Roman" w:cs="Times New Roman"/>
          <w:sz w:val="28"/>
          <w:szCs w:val="28"/>
        </w:rPr>
        <w:t xml:space="preserve">e dívek i chlapců </w:t>
      </w:r>
      <w:r w:rsidR="002C62D2">
        <w:rPr>
          <w:rStyle w:val="markedcontent"/>
          <w:rFonts w:ascii="Times New Roman" w:hAnsi="Times New Roman" w:cs="Times New Roman"/>
          <w:sz w:val="28"/>
          <w:szCs w:val="28"/>
        </w:rPr>
        <w:t>zakázáno.</w:t>
      </w:r>
    </w:p>
    <w:p w14:paraId="42828182" w14:textId="19A0C0D5" w:rsidR="00247ECF" w:rsidRPr="001B1089" w:rsidRDefault="003F4E33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13.</w:t>
      </w:r>
      <w:r w:rsidR="00640D6E"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Náležitosti jednotlivců </w:t>
      </w:r>
    </w:p>
    <w:p w14:paraId="23AF34C4" w14:textId="19D7311E" w:rsidR="00247ECF" w:rsidRPr="001B1089" w:rsidRDefault="00247ECF" w:rsidP="00640D6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Všichni hráči a hráčky, jakož i ostatní funkcionáři zúčastnění na</w:t>
      </w:r>
      <w:r w:rsidR="0068536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mistrovských utkáních musí 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být registrovanými členy ČSH a mít uhrazený členský příspěvek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Odpovědnost za 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registraci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sportovců i </w:t>
      </w:r>
      <w:r w:rsidR="005B64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2 až 4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funkcionářů</w:t>
      </w:r>
      <w:r w:rsidR="005B64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družstva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má odpovědný vedoucí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družstva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</w:t>
      </w:r>
      <w:r w:rsidR="005B64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Všichni hráči musí mí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t v systému </w:t>
      </w:r>
      <w:r w:rsidR="00CD51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-net</w:t>
      </w:r>
      <w:r w:rsidR="00CD51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2.0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vloženou 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aktuální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fotografii.</w:t>
      </w:r>
    </w:p>
    <w:p w14:paraId="13880332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Hráči a hráčky musí mít platnou lékařskou prohlídku ne starší jak 1 rok (SŘH čl. 35). Potvrzení o platných zdravotních prohlídkách hráčů musí 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mít klub uložené</w:t>
      </w:r>
      <w:r w:rsidR="00CD51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 H – netu 2.0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v případě potřeby musí klub potvrzení o zdravotní prohlídce dodatečně doložit na vyzvání řídícího </w:t>
      </w:r>
      <w:r w:rsidR="00CD51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orgánu 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soutěže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Bez platné lékařské prohlídky nesmí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hráč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nastoupit k utkání. Odpovědnost za 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případné 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lastRenderedPageBreak/>
        <w:t>doložení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potvrzení o zdravotním stavu sportovců má odpovědný vedoucí družstva. </w:t>
      </w:r>
    </w:p>
    <w:p w14:paraId="63EF4D49" w14:textId="5D229B47" w:rsidR="00247ECF" w:rsidRPr="001B1089" w:rsidRDefault="00247ECF" w:rsidP="003F4E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Případná kontrola totožnosti se provádí dle SŘH čl. 43. Rozhodčí v </w:t>
      </w:r>
      <w:r w:rsidR="007D00B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tomto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případě pořídí fotodokumentaci hráče a zaš</w:t>
      </w:r>
      <w:r w:rsidR="003F4E3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lou ji řídícímu orgánu soutěže.</w:t>
      </w:r>
    </w:p>
    <w:p w14:paraId="10BF4EDD" w14:textId="77777777" w:rsidR="00247ECF" w:rsidRPr="001B1089" w:rsidRDefault="003F4E33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14. Hrací doba</w:t>
      </w:r>
    </w:p>
    <w:p w14:paraId="16413374" w14:textId="362BDEE8" w:rsidR="006C71AA" w:rsidRPr="00111769" w:rsidRDefault="00247ECF" w:rsidP="003F4E33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Hrací doba všech kol Žáko</w:t>
      </w:r>
      <w:r w:rsidR="003F4E3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vské ligy je stanovena na 2 </w:t>
      </w:r>
      <w:r w:rsidR="00066EC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×</w:t>
      </w:r>
      <w:r w:rsidR="003F4E3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18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minut </w:t>
      </w:r>
      <w:r w:rsidR="003F4E3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</w:t>
      </w:r>
      <w:r w:rsidR="00255E8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68536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10minutovou</w:t>
      </w:r>
      <w:r w:rsidR="003F4E3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přestávkou.</w:t>
      </w:r>
      <w:r w:rsidR="00111769" w:rsidRPr="00111769">
        <w:t xml:space="preserve"> </w:t>
      </w:r>
      <w:r w:rsidR="00447BB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M</w:t>
      </w:r>
      <w:r w:rsidR="00111769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ezi 1. a 2. poločasem utkání</w:t>
      </w:r>
      <w:r w:rsidR="00447BBF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není potřeba </w:t>
      </w:r>
      <w:r w:rsidR="00101569" w:rsidRPr="00232B7B">
        <w:rPr>
          <w:rFonts w:ascii="Times New Roman" w:eastAsia="Times New Roman" w:hAnsi="Times New Roman" w:cs="Times New Roman"/>
          <w:sz w:val="28"/>
          <w:szCs w:val="24"/>
          <w:lang w:eastAsia="cs-CZ"/>
        </w:rPr>
        <w:t>střídat strany, pokud se na tom shodnou zodpovědní vedoucí obou družstev.</w:t>
      </w:r>
    </w:p>
    <w:p w14:paraId="15BD42ED" w14:textId="77777777" w:rsidR="00247ECF" w:rsidRPr="001B1089" w:rsidRDefault="003F4E33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15. Hrací termíny</w:t>
      </w:r>
    </w:p>
    <w:p w14:paraId="18BD3A0B" w14:textId="1664A223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Hracím dnem je sobota </w:t>
      </w:r>
      <w:r w:rsidR="007D00B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nebo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neděle. Nejčasnější oficiální začátek prvního utkání turnaje je stanoven na 8:00 hod. Nejpozdější oficiální začátek posledního utkání turnaje je stanoven na 18:00 hod</w:t>
      </w:r>
      <w:r w:rsidR="00066EC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2E687776" w14:textId="77777777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Pořádající oddíly jsou povinny vzdálenějším soupeřům určit pozdější čas zahájení utkání odstupňovaně tak, aby mohli započít přepravu k utkáním v čase neovlivňujícím regulérnost utkání.</w:t>
      </w:r>
    </w:p>
    <w:p w14:paraId="1443B8BE" w14:textId="73BFE84A" w:rsidR="00640D6E" w:rsidRPr="001B1089" w:rsidRDefault="00247ECF" w:rsidP="00640D6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Předehrát utkání Žákovské ligy není přípustné</w:t>
      </w:r>
      <w:r w:rsidR="00CD5120" w:rsidRPr="001B108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!</w:t>
      </w:r>
    </w:p>
    <w:p w14:paraId="243F53D9" w14:textId="77777777" w:rsidR="00640D6E" w:rsidRPr="001B1089" w:rsidRDefault="00640D6E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br w:type="page"/>
      </w:r>
    </w:p>
    <w:p w14:paraId="229AFD7C" w14:textId="77777777" w:rsidR="00247ECF" w:rsidRPr="001B1089" w:rsidRDefault="003F4E33" w:rsidP="00E00824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16. Hlášení utkání</w:t>
      </w:r>
    </w:p>
    <w:p w14:paraId="2EFB3665" w14:textId="58299733" w:rsidR="00247ECF" w:rsidRPr="001B1089" w:rsidRDefault="00247ECF" w:rsidP="002A7F2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Zájemci o pořádání turnaje 6. kola Žákovské ligy musí závazně projevit svůj zájem o pořádání do </w:t>
      </w:r>
      <w:r w:rsidR="00E62D0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</w:t>
      </w:r>
      <w:r w:rsidR="00D1077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</w:t>
      </w:r>
      <w:r w:rsidR="00615CF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8350D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20</w:t>
      </w:r>
      <w:r w:rsidR="0017679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F91B8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Zájemci o pořadatelství uvolněného turnaje 1. – 5. kola musí závazně projevit svůj zájem, a to nejpozději do 3 dnů po zveřejnění těchto turnajů. Zájem musí projevit e-mailem na adresu řídícího soutěže a stanovit přesný termín konání turnaje. Pořadatele následně určí řídící soutěže dle ustanovení tohoto rozpisu.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D793FFA" w14:textId="525D930C" w:rsidR="00247ECF" w:rsidRPr="001B1089" w:rsidRDefault="00247ECF" w:rsidP="000B5323">
      <w:pPr>
        <w:jc w:val="both"/>
        <w:rPr>
          <w:rFonts w:ascii="Calibri" w:hAnsi="Calibri" w:cs="Calibri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Pořadatel </w:t>
      </w:r>
      <w:r w:rsidR="005B64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každého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turnaje je povinen před konáním turnaje provést rozlosování turnaje a nahlásit jej </w:t>
      </w:r>
      <w:r w:rsidR="005B642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včetně časů jednotlivých utkání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účastníkům turnaje, řídícímu orgánu soutěže na </w:t>
      </w:r>
      <w:r w:rsidR="00B1621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adresu </w:t>
      </w:r>
      <w:hyperlink r:id="rId16" w:history="1">
        <w:r w:rsidR="00B1621F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4"/>
            <w:lang w:eastAsia="cs-CZ"/>
          </w:rPr>
          <w:t>oskera@handball.cz</w:t>
        </w:r>
      </w:hyperlink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Komisi rozhodčích</w:t>
      </w:r>
      <w:r w:rsidR="00B1621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delegátů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na </w:t>
      </w:r>
      <w:r w:rsidR="00B1621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adresu </w:t>
      </w:r>
      <w:hyperlink r:id="rId17" w:history="1">
        <w:r w:rsidR="00B1621F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8"/>
          </w:rPr>
          <w:t>zych@handball.cz</w:t>
        </w:r>
      </w:hyperlink>
      <w:r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1B1089">
        <w:rPr>
          <w:rFonts w:ascii="Times New Roman" w:eastAsia="Times New Roman" w:hAnsi="Times New Roman" w:cs="Times New Roman"/>
          <w:sz w:val="32"/>
          <w:szCs w:val="28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 to nejpozději 10 dnů před turnajem e-mailem.</w:t>
      </w:r>
    </w:p>
    <w:p w14:paraId="6F98408B" w14:textId="77777777" w:rsidR="00247ECF" w:rsidRPr="001B1089" w:rsidRDefault="003F4E33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17. Řízení utkání a turnajů</w:t>
      </w:r>
    </w:p>
    <w:p w14:paraId="3EF115D3" w14:textId="2BE971F4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Všechna utkání </w:t>
      </w:r>
      <w:r w:rsidR="006363B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Ž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ákovské ligy jsou, dle pravidel házené, řízena dvojicemi rozhodčích. Delegaci rozhodčích na turnaje 1. až 6. kola ŽL provádí Komise rozhodčích</w:t>
      </w:r>
      <w:r w:rsidR="006363B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delegátů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ČSH ve spolupráci s krajskými komisemi rozhodčích.</w:t>
      </w:r>
    </w:p>
    <w:p w14:paraId="41DF06E9" w14:textId="69EAB33E" w:rsidR="005B6420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Na turnaje Žákovské ligy Komise rozhodčích ČSH nominuje 4 nebo 5 rozhodčích. Jeden z rozhodčích je nominován jako hlavní rozhodčí (musí mít licenci B nebo </w:t>
      </w:r>
      <w:r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>A).</w:t>
      </w:r>
      <w:r w:rsidR="00343592" w:rsidRPr="001B108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Všichni rozhodčí, kteří řídí utkání Žákovské ligy, musí být držiteli platné licence A, B, nebo C.</w:t>
      </w:r>
    </w:p>
    <w:p w14:paraId="2418E885" w14:textId="7C64C6DF" w:rsidR="005B6420" w:rsidRPr="001B1089" w:rsidRDefault="00247ECF" w:rsidP="00954B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Hlavní rozhodčí</w:t>
      </w:r>
      <w:r w:rsidR="005B6420"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:</w:t>
      </w: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 xml:space="preserve"> </w:t>
      </w:r>
    </w:p>
    <w:p w14:paraId="6A9D01EB" w14:textId="77777777" w:rsidR="005B6420" w:rsidRPr="001B1089" w:rsidRDefault="005B6420" w:rsidP="005B6420">
      <w:pPr>
        <w:pStyle w:val="Odstavecseseznamem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Rozhoduje o nasazení rozhodčích na jednotlivá utkání</w:t>
      </w:r>
    </w:p>
    <w:p w14:paraId="7DA92D0D" w14:textId="77777777" w:rsidR="005B6420" w:rsidRPr="001B1089" w:rsidRDefault="005B6420" w:rsidP="005B6420">
      <w:pPr>
        <w:pStyle w:val="Odstavecseseznamem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Odpovídá za provedení kontroly hracích dokladů všech zúčastněných družstev pro všechna utkání turnaje</w:t>
      </w:r>
    </w:p>
    <w:p w14:paraId="5E3245DB" w14:textId="77777777" w:rsidR="008676EC" w:rsidRPr="001B1089" w:rsidRDefault="005B6420" w:rsidP="005B6420">
      <w:pPr>
        <w:pStyle w:val="Odstavecseseznamem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Potvrzuje správnost </w:t>
      </w:r>
      <w:r w:rsidR="008676E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účtování odměn a náhrad jednotlivých rozhodčích</w:t>
      </w:r>
    </w:p>
    <w:p w14:paraId="49AEBF65" w14:textId="77777777" w:rsidR="008676EC" w:rsidRPr="001B1089" w:rsidRDefault="008676EC" w:rsidP="005B6420">
      <w:pPr>
        <w:pStyle w:val="Odstavecseseznamem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Řeší námitky řádně vznesené jednotlivými družstvy po zaplacení poplatku</w:t>
      </w:r>
    </w:p>
    <w:p w14:paraId="4FF1618E" w14:textId="77777777" w:rsidR="008676EC" w:rsidRPr="001B1089" w:rsidRDefault="008676EC" w:rsidP="005B6420">
      <w:pPr>
        <w:pStyle w:val="Odstavecseseznamem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Zasílá originály všech zápisů o utkání řídícímu orgánu doporučeně první pracovní den po turnaji</w:t>
      </w:r>
      <w:r w:rsidR="00FB307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V případě zadávání elektronického zápisu potvrzuje správnost </w:t>
      </w:r>
      <w:r w:rsidR="00EA3AD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údajů k </w:t>
      </w:r>
      <w:r w:rsidR="00FB307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zápis</w:t>
      </w:r>
      <w:r w:rsidR="00EA3AD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 o utkání</w:t>
      </w:r>
      <w:r w:rsidR="00FB307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 systému H – net 2.0</w:t>
      </w:r>
    </w:p>
    <w:p w14:paraId="7A385295" w14:textId="77777777" w:rsidR="008676EC" w:rsidRPr="001B1089" w:rsidRDefault="008676EC" w:rsidP="005B6420">
      <w:pPr>
        <w:pStyle w:val="Odstavecseseznamem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 případě vážného přestupku či zásadních problémů během turnaje, které je nutné řešit řídícím orgánem soutěže nebo disciplinárně, oznámí relevantní skutečnosti telefonicky nejbližší pracovní den sekretáři mládeže ČSH</w:t>
      </w:r>
    </w:p>
    <w:p w14:paraId="5DC521B4" w14:textId="77777777" w:rsidR="008676EC" w:rsidRPr="001B1089" w:rsidRDefault="008676EC" w:rsidP="005B6420">
      <w:pPr>
        <w:pStyle w:val="Odstavecseseznamem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Řeší otázky a nejasnosti v oblasti pravidel a práce rozhodčích během turnaje ŽL</w:t>
      </w:r>
    </w:p>
    <w:p w14:paraId="6EAACEBB" w14:textId="79A8244C" w:rsidR="008676EC" w:rsidRPr="001B1089" w:rsidRDefault="008676EC" w:rsidP="005B6420">
      <w:pPr>
        <w:pStyle w:val="Odstavecseseznamem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Podává stručnou zprávu o průběhu turnaje </w:t>
      </w:r>
      <w:r w:rsidR="0088271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omisi rozhodčích </w:t>
      </w:r>
      <w:r w:rsidR="0088271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a delegátů </w:t>
      </w:r>
      <w:r w:rsidR="00727DC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a </w:t>
      </w:r>
      <w:r w:rsidR="0036308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manažerovi</w:t>
      </w:r>
      <w:r w:rsidR="00727DC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mládeže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(mailem na </w:t>
      </w:r>
      <w:hyperlink r:id="rId18" w:history="1">
        <w:r w:rsidR="00D00EBF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8"/>
          </w:rPr>
          <w:t>zych@handball.cz</w:t>
        </w:r>
      </w:hyperlink>
      <w:r w:rsidR="009926C0" w:rsidRPr="001B1089">
        <w:rPr>
          <w:rStyle w:val="Hypertextovodkaz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a v kopii </w:t>
      </w:r>
      <w:r w:rsidR="009926C0" w:rsidRPr="001B1089">
        <w:rPr>
          <w:rStyle w:val="Hypertextovodkaz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lastRenderedPageBreak/>
        <w:t>na</w:t>
      </w:r>
      <w:r w:rsidR="00605222" w:rsidRPr="001B1089">
        <w:rPr>
          <w:rStyle w:val="Hypertextovodkaz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 </w:t>
      </w:r>
      <w:hyperlink r:id="rId19" w:history="1">
        <w:r w:rsidR="00605222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8"/>
          </w:rPr>
          <w:t>oskera@handball.cz</w:t>
        </w:r>
      </w:hyperlink>
      <w:r w:rsidR="009926C0" w:rsidRPr="001B1089">
        <w:rPr>
          <w:rStyle w:val="Hypertextovodkaz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), ve které </w:t>
      </w:r>
      <w:r w:rsidR="003F2B6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mj.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uvede, kteří rozhodčí kontrolovali družst</w:t>
      </w:r>
      <w:r w:rsidR="00FB307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va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 jednotlivých utkáních</w:t>
      </w:r>
    </w:p>
    <w:p w14:paraId="29C9BBB2" w14:textId="3C8723AB" w:rsidR="008676EC" w:rsidRPr="001B1089" w:rsidRDefault="008676EC" w:rsidP="005B6420">
      <w:pPr>
        <w:pStyle w:val="Odstavecseseznamem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Obdrží za výkon této funkce odměnu ve výši </w:t>
      </w:r>
      <w:r w:rsidR="0023462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500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Kč</w:t>
      </w:r>
    </w:p>
    <w:p w14:paraId="3B325489" w14:textId="77777777" w:rsidR="00801222" w:rsidRPr="001B1089" w:rsidRDefault="00247ECF" w:rsidP="008676EC">
      <w:pPr>
        <w:spacing w:before="100" w:beforeAutospacing="1"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Při nedostavení se rozhodčích se postupuje podle SŘH čl. 37</w:t>
      </w:r>
    </w:p>
    <w:p w14:paraId="14E1E071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Rozhodčí</w:t>
      </w:r>
    </w:p>
    <w:p w14:paraId="386C0C45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Rozhodčí jsou povinni:</w:t>
      </w:r>
    </w:p>
    <w:p w14:paraId="241F75E8" w14:textId="70C85998" w:rsidR="00247ECF" w:rsidRPr="001B1089" w:rsidRDefault="007479C2" w:rsidP="00247EC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ontrolovat </w:t>
      </w:r>
      <w:r w:rsidR="00FB307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členství</w:t>
      </w:r>
      <w:r w:rsidR="00E05C9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hráčů a funkcionářů </w:t>
      </w:r>
      <w:r w:rsidR="00E05C9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družstev</w:t>
      </w:r>
      <w:r w:rsidR="00FB307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 ČSH</w:t>
      </w:r>
    </w:p>
    <w:p w14:paraId="65FAF9A7" w14:textId="54EBDD09" w:rsidR="00247ECF" w:rsidRPr="001B1089" w:rsidRDefault="007479C2" w:rsidP="00E05C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ždy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ve spolupráci s hlavním rozhodčím 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podrobně popsat</w:t>
      </w:r>
      <w:r w:rsidR="00E05C9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 zápise o utkání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důvod udělení červené karty, která byla udělena přímo (nejedná se</w:t>
      </w:r>
      <w:r w:rsidR="00605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o</w:t>
      </w:r>
      <w:r w:rsidR="00B2001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udělení červené karty za třetí vyloučení)</w:t>
      </w:r>
    </w:p>
    <w:p w14:paraId="042DE997" w14:textId="7020E811" w:rsidR="009926C0" w:rsidRPr="001B1089" w:rsidRDefault="007479C2" w:rsidP="00E05C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</w:t>
      </w:r>
      <w:r w:rsidR="009926C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ždy podrobně popsat v zápise o utkání důvod udělení modré karty</w:t>
      </w:r>
    </w:p>
    <w:p w14:paraId="7BDB9526" w14:textId="77777777" w:rsidR="00B20012" w:rsidRPr="001B1089" w:rsidRDefault="00B20012" w:rsidP="00B200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epovolit start hráčům v rozporu s čl. 10 tohoto rozpisu soutěží</w:t>
      </w:r>
    </w:p>
    <w:p w14:paraId="3F940DE2" w14:textId="478515AE" w:rsidR="00EA3AD6" w:rsidRPr="001B1089" w:rsidRDefault="00B20012" w:rsidP="00B2001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hAnsi="Times New Roman" w:cs="Times New Roman"/>
          <w:sz w:val="28"/>
        </w:rPr>
        <w:t>V</w:t>
      </w:r>
      <w:r w:rsidR="00801222" w:rsidRPr="001B1089">
        <w:rPr>
          <w:rFonts w:ascii="Times New Roman" w:hAnsi="Times New Roman" w:cs="Times New Roman"/>
          <w:sz w:val="28"/>
        </w:rPr>
        <w:t> souvislosti s </w:t>
      </w:r>
      <w:r w:rsidR="00E05C9A" w:rsidRPr="001B1089">
        <w:rPr>
          <w:rFonts w:ascii="Times New Roman" w:hAnsi="Times New Roman" w:cs="Times New Roman"/>
          <w:sz w:val="28"/>
        </w:rPr>
        <w:t>naplňová</w:t>
      </w:r>
      <w:r w:rsidR="00801222" w:rsidRPr="001B1089">
        <w:rPr>
          <w:rFonts w:ascii="Times New Roman" w:hAnsi="Times New Roman" w:cs="Times New Roman"/>
          <w:sz w:val="28"/>
        </w:rPr>
        <w:t xml:space="preserve">ním Koncepce získávání a přípravy rozhodčích může KR ČSH vyslat </w:t>
      </w:r>
      <w:r w:rsidR="00E05C9A" w:rsidRPr="001B1089">
        <w:rPr>
          <w:rFonts w:ascii="Times New Roman" w:hAnsi="Times New Roman" w:cs="Times New Roman"/>
          <w:sz w:val="28"/>
        </w:rPr>
        <w:t xml:space="preserve">na turnaj ŽL </w:t>
      </w:r>
      <w:r w:rsidR="00801222" w:rsidRPr="001B1089">
        <w:rPr>
          <w:rFonts w:ascii="Times New Roman" w:hAnsi="Times New Roman" w:cs="Times New Roman"/>
          <w:sz w:val="28"/>
        </w:rPr>
        <w:t xml:space="preserve">pozorovatele – mentora, který dohlíží na výkon rozhodčích. Mentor </w:t>
      </w:r>
      <w:r w:rsidR="004F3274" w:rsidRPr="001B1089">
        <w:rPr>
          <w:rFonts w:ascii="Times New Roman" w:hAnsi="Times New Roman" w:cs="Times New Roman"/>
          <w:sz w:val="28"/>
        </w:rPr>
        <w:t>může být zároveň Hlavním rozhodčím</w:t>
      </w:r>
      <w:r w:rsidR="00D31C49" w:rsidRPr="001B1089">
        <w:rPr>
          <w:rFonts w:ascii="Times New Roman" w:hAnsi="Times New Roman" w:cs="Times New Roman"/>
          <w:sz w:val="28"/>
        </w:rPr>
        <w:t xml:space="preserve"> ve</w:t>
      </w:r>
      <w:r w:rsidR="00605222" w:rsidRPr="001B1089">
        <w:rPr>
          <w:rFonts w:ascii="Times New Roman" w:hAnsi="Times New Roman" w:cs="Times New Roman"/>
          <w:sz w:val="28"/>
        </w:rPr>
        <w:t> </w:t>
      </w:r>
      <w:r w:rsidR="00D31C49" w:rsidRPr="001B1089">
        <w:rPr>
          <w:rFonts w:ascii="Times New Roman" w:hAnsi="Times New Roman" w:cs="Times New Roman"/>
          <w:sz w:val="28"/>
        </w:rPr>
        <w:t xml:space="preserve">smyslu </w:t>
      </w:r>
      <w:r w:rsidR="00E05C9A" w:rsidRPr="001B1089">
        <w:rPr>
          <w:rFonts w:ascii="Times New Roman" w:hAnsi="Times New Roman" w:cs="Times New Roman"/>
          <w:sz w:val="28"/>
        </w:rPr>
        <w:t>předchozího odstavce</w:t>
      </w:r>
      <w:r w:rsidR="00D31C49" w:rsidRPr="001B1089">
        <w:rPr>
          <w:rFonts w:ascii="Times New Roman" w:hAnsi="Times New Roman" w:cs="Times New Roman"/>
          <w:sz w:val="28"/>
        </w:rPr>
        <w:t xml:space="preserve"> tohoto článku</w:t>
      </w:r>
    </w:p>
    <w:p w14:paraId="2DE569D3" w14:textId="14B5236F" w:rsidR="00EA3AD6" w:rsidRPr="001B1089" w:rsidRDefault="00B20012" w:rsidP="00EA3AD6">
      <w:pPr>
        <w:pStyle w:val="Default"/>
        <w:numPr>
          <w:ilvl w:val="0"/>
          <w:numId w:val="7"/>
        </w:numPr>
        <w:rPr>
          <w:rFonts w:ascii="Times New Roman" w:hAnsi="Times New Roman" w:cs="Times New Roman"/>
          <w:color w:val="auto"/>
          <w:sz w:val="28"/>
        </w:rPr>
      </w:pPr>
      <w:r w:rsidRPr="001B1089">
        <w:rPr>
          <w:rFonts w:ascii="Times New Roman" w:hAnsi="Times New Roman" w:cs="Times New Roman"/>
          <w:color w:val="auto"/>
          <w:sz w:val="28"/>
        </w:rPr>
        <w:t>V</w:t>
      </w:r>
      <w:r w:rsidR="00EA3AD6" w:rsidRPr="001B1089">
        <w:rPr>
          <w:rFonts w:ascii="Times New Roman" w:eastAsia="Times New Roman" w:hAnsi="Times New Roman" w:cs="Times New Roman"/>
          <w:color w:val="auto"/>
          <w:sz w:val="28"/>
          <w:lang w:eastAsia="cs-CZ"/>
        </w:rPr>
        <w:t> případě zadávání elektronického zápisu potvrzuje správnost údajů k zápisu o utkání v systému H–net 2.0</w:t>
      </w:r>
    </w:p>
    <w:p w14:paraId="73E9AE89" w14:textId="66D9C5EA" w:rsidR="00234621" w:rsidRPr="001B1089" w:rsidRDefault="00234621" w:rsidP="00234621">
      <w:pPr>
        <w:pStyle w:val="Default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4B8A7D7F" w14:textId="397EB42B" w:rsidR="00234621" w:rsidRPr="001B1089" w:rsidRDefault="00234621" w:rsidP="00234621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  <w:r w:rsidRPr="001B108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Pro rozhodčí s licencí C je za jedno utkání stanovena odměna ve výši 350 Kč.</w:t>
      </w:r>
    </w:p>
    <w:p w14:paraId="3831F43A" w14:textId="6F73228B" w:rsidR="00234621" w:rsidRPr="001B1089" w:rsidRDefault="00234621" w:rsidP="00234621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</w:pPr>
    </w:p>
    <w:p w14:paraId="2F0127A8" w14:textId="61FCB056" w:rsidR="00234621" w:rsidRPr="001B1089" w:rsidRDefault="00234621" w:rsidP="00234621">
      <w:pPr>
        <w:pStyle w:val="Default"/>
        <w:rPr>
          <w:rFonts w:ascii="Times New Roman" w:hAnsi="Times New Roman" w:cs="Times New Roman"/>
          <w:color w:val="auto"/>
          <w:sz w:val="28"/>
        </w:rPr>
      </w:pPr>
      <w:r w:rsidRPr="001B108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Pro rozhodčí</w:t>
      </w:r>
      <w:r w:rsidR="00B13634" w:rsidRPr="001B108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s licencí B a </w:t>
      </w:r>
      <w:proofErr w:type="spellStart"/>
      <w:r w:rsidRPr="001B108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A</w:t>
      </w:r>
      <w:proofErr w:type="spellEnd"/>
      <w:r w:rsidRPr="001B108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 je za jedno utkání stanovena </w:t>
      </w:r>
      <w:r w:rsidR="00B13634" w:rsidRPr="001B108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 xml:space="preserve">odměna </w:t>
      </w:r>
      <w:r w:rsidRPr="001B108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ve výši 400</w:t>
      </w:r>
      <w:r w:rsidR="00A25146" w:rsidRPr="001B108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Kč.</w:t>
      </w:r>
    </w:p>
    <w:p w14:paraId="55198B82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Zápisy o utkání</w:t>
      </w:r>
    </w:p>
    <w:p w14:paraId="5009DB7C" w14:textId="6607A7CC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Pořadatel turnaje je povinen mít k dispozici oficiální zápisy ČSH</w:t>
      </w:r>
      <w:r w:rsidR="00605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605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předtištěné nebo formuláře v počítači. Rozhodčím utkání předá vyplněný zápis (SŘH čl. 40) zapisovatel.</w:t>
      </w:r>
      <w:r w:rsidR="00FB3078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Toto neplatí v případě, že má pořadatel k dispozici elektronický zápis o utkání v systému H – net 2.0.</w:t>
      </w:r>
    </w:p>
    <w:p w14:paraId="2535F50C" w14:textId="6B4C352B" w:rsidR="00247ECF" w:rsidRPr="001B1089" w:rsidRDefault="00247ECF" w:rsidP="00BC1E09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Při nedostavení se rozhodčích zasílá originály zápisů o utkání pořadatel turnaje řídícímu orgánu soutěže. </w:t>
      </w:r>
    </w:p>
    <w:p w14:paraId="189654D1" w14:textId="3638F727" w:rsidR="006F7418" w:rsidRDefault="00B44AF5" w:rsidP="00640D6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t>Utkání se může v IS H-net 2.0 zahájit pouze se souhlasem rozhodčích příslušného utkání, a to až poté co tito zkontrolují, že v zápise jsou obsaženy všechny náležitosti!</w:t>
      </w:r>
    </w:p>
    <w:p w14:paraId="426E75A0" w14:textId="77777777" w:rsidR="006F7418" w:rsidRDefault="006F7418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  <w:br w:type="page"/>
      </w:r>
    </w:p>
    <w:p w14:paraId="22068E66" w14:textId="247ADDA9" w:rsidR="00247ECF" w:rsidRPr="001B1089" w:rsidRDefault="00247ECF" w:rsidP="00640D6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lastRenderedPageBreak/>
        <w:t>Zapisovatel a časoměřič</w:t>
      </w:r>
    </w:p>
    <w:p w14:paraId="7091AC01" w14:textId="6ADF0615" w:rsidR="00247ECF" w:rsidRPr="001B1089" w:rsidRDefault="00247ECF" w:rsidP="000B532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Úkoly těchto funkcionářů jsou stanoveny SŘH čl. 39 s následujícími změnami:</w:t>
      </w:r>
    </w:p>
    <w:p w14:paraId="1F80911C" w14:textId="77777777" w:rsidR="00247ECF" w:rsidRPr="001B1089" w:rsidRDefault="00247ECF" w:rsidP="00247EC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časoměřič spolu se zapisovatelem nekontrolují nástup hráčů doplňujících družstvo (až do maximálního počtu 16) – odpovídají rozhodčí</w:t>
      </w:r>
    </w:p>
    <w:p w14:paraId="224BA4A2" w14:textId="5A1630A2" w:rsidR="00247ECF" w:rsidRPr="001B1089" w:rsidRDefault="00247ECF" w:rsidP="00247E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časoměřič nekontroluje a nepíská vstup a odchod chybně střídajících hráčů</w:t>
      </w:r>
      <w:r w:rsidR="007D482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–</w:t>
      </w:r>
      <w:r w:rsidR="007D482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odpovídají rozhodčí,</w:t>
      </w:r>
    </w:p>
    <w:p w14:paraId="4AF79CF0" w14:textId="77777777" w:rsidR="00247ECF" w:rsidRPr="001B1089" w:rsidRDefault="00247ECF" w:rsidP="00247E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pořádající oddíl může sloučit funkci zapisovatele a časoměřiče,</w:t>
      </w:r>
    </w:p>
    <w:p w14:paraId="184C84F9" w14:textId="77777777" w:rsidR="00247ECF" w:rsidRPr="001B1089" w:rsidRDefault="00F62195" w:rsidP="00247E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 případě nefungující veřejné časomíry je pořadatel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povinen umožnit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jednomu z funkcionářů družst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 (uvedenému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 zápise o utkání) přítomnost u stolku zapisov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atele po dobu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utkání za účelem kontroly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výkonu 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fu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nkcí zapisovatele a časoměřiče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Tento funkcionář však nesmí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zasahovat do hry. Toto právo družstva nemusí využít,</w:t>
      </w:r>
    </w:p>
    <w:p w14:paraId="4A95F982" w14:textId="7D146F6B" w:rsidR="00247ECF" w:rsidRPr="001B1089" w:rsidRDefault="00CC4C9F" w:rsidP="00247EC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je povinen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mít u stolku tento rozpis ŽL daného soutěžního ročníku a</w:t>
      </w:r>
      <w:r w:rsidR="00605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pravidla házené</w:t>
      </w:r>
      <w:r w:rsidR="00F62195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</w:t>
      </w:r>
    </w:p>
    <w:p w14:paraId="7691BAC7" w14:textId="1F5C81B0" w:rsidR="00247ECF" w:rsidRPr="001B1089" w:rsidRDefault="00CC4C9F" w:rsidP="00247ECF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je povinen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mít u stolku zelené karty pro vyžádání team</w:t>
      </w:r>
      <w:r w:rsidR="00FE09D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proofErr w:type="spellStart"/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time</w:t>
      </w:r>
      <w:proofErr w:type="spellEnd"/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-outu. </w:t>
      </w:r>
    </w:p>
    <w:p w14:paraId="4FB75A3B" w14:textId="35157EC3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Pořadatelská služba</w:t>
      </w:r>
      <w:r w:rsidR="00F12102"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 xml:space="preserve"> a hlavní pořadatel</w:t>
      </w:r>
    </w:p>
    <w:p w14:paraId="480D5FAD" w14:textId="0B34F52C" w:rsidR="00801222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Pořadatelská služba musí být řádně označena. Hlavní pořadatel turnaje je uveden ve všech zápisech o utkání turnaje a v rámci jednoho turnaje to musí být pouze jedna osoba</w:t>
      </w:r>
      <w:r w:rsidR="007E400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starší 18 let, která je členem pořádajícího klubu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 Před turnajem se představí hlavnímu rozhodčímu turnaje a domluví se s ním na spolupráci, musí být též označen</w:t>
      </w:r>
      <w:r w:rsidR="00801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  <w:r w:rsidR="00F1210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Hlavní pořadatel nesmí v průběhu turnaje zastávat žádné jiné funkce a nemůže vystupovat jako funkcionář mužstva v průběhu turnaje, na</w:t>
      </w:r>
      <w:r w:rsidR="00605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F1210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kterém vykonává funkci hlavního pořadatele.</w:t>
      </w:r>
    </w:p>
    <w:p w14:paraId="441C4C4F" w14:textId="77777777" w:rsidR="00C43F2F" w:rsidRPr="001B1089" w:rsidRDefault="00801222" w:rsidP="008012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Povinnost pořadatele</w:t>
      </w:r>
    </w:p>
    <w:p w14:paraId="0CA85216" w14:textId="623073EA" w:rsidR="00801222" w:rsidRDefault="00BC1E09" w:rsidP="00801222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B1089">
        <w:rPr>
          <w:rFonts w:ascii="Times New Roman" w:hAnsi="Times New Roman" w:cs="Times New Roman"/>
          <w:b/>
          <w:bCs/>
          <w:sz w:val="28"/>
          <w:szCs w:val="24"/>
        </w:rPr>
        <w:tab/>
      </w:r>
      <w:r w:rsidR="00801222" w:rsidRPr="001B1089">
        <w:rPr>
          <w:rFonts w:ascii="Times New Roman" w:hAnsi="Times New Roman" w:cs="Times New Roman"/>
          <w:b/>
          <w:bCs/>
          <w:sz w:val="28"/>
          <w:szCs w:val="24"/>
        </w:rPr>
        <w:t>Výzva fair-play a zajištění slušného chování diváků při utkáních mládeže</w:t>
      </w:r>
    </w:p>
    <w:p w14:paraId="77DBBE6F" w14:textId="77777777" w:rsidR="00232B7B" w:rsidRPr="001B1089" w:rsidRDefault="00232B7B" w:rsidP="0080122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</w:pPr>
    </w:p>
    <w:p w14:paraId="3061D23C" w14:textId="77777777" w:rsidR="00801222" w:rsidRPr="001B1089" w:rsidRDefault="003F4E33" w:rsidP="003F4E33">
      <w:pPr>
        <w:pStyle w:val="Default"/>
        <w:spacing w:after="240"/>
        <w:rPr>
          <w:rFonts w:ascii="Times New Roman" w:hAnsi="Times New Roman" w:cs="Times New Roman"/>
          <w:color w:val="auto"/>
          <w:sz w:val="28"/>
        </w:rPr>
      </w:pPr>
      <w:r w:rsidRPr="001B1089">
        <w:rPr>
          <w:rFonts w:ascii="Times New Roman" w:hAnsi="Times New Roman" w:cs="Times New Roman"/>
          <w:color w:val="auto"/>
          <w:sz w:val="28"/>
        </w:rPr>
        <w:tab/>
      </w:r>
      <w:r w:rsidR="00801222" w:rsidRPr="001B1089">
        <w:rPr>
          <w:rFonts w:ascii="Times New Roman" w:hAnsi="Times New Roman" w:cs="Times New Roman"/>
          <w:color w:val="auto"/>
          <w:sz w:val="28"/>
        </w:rPr>
        <w:t xml:space="preserve">1. Výzva – „Chovej se fair play!“ </w:t>
      </w:r>
    </w:p>
    <w:p w14:paraId="33CB2323" w14:textId="6FBCE308" w:rsidR="00801222" w:rsidRDefault="003F4E33" w:rsidP="00CC4C9F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8"/>
        </w:rPr>
      </w:pPr>
      <w:r w:rsidRPr="001B1089">
        <w:rPr>
          <w:rFonts w:ascii="Times New Roman" w:hAnsi="Times New Roman" w:cs="Times New Roman"/>
          <w:color w:val="auto"/>
          <w:sz w:val="28"/>
        </w:rPr>
        <w:tab/>
      </w:r>
      <w:r w:rsidR="00801222" w:rsidRPr="001B1089">
        <w:rPr>
          <w:rFonts w:ascii="Times New Roman" w:hAnsi="Times New Roman" w:cs="Times New Roman"/>
          <w:color w:val="auto"/>
          <w:sz w:val="28"/>
        </w:rPr>
        <w:t>„Dámy a pánové, vážení diváci, v duchu slušnosti a s respektem ke všem sportovcům, funkcionářům a rozhodčím Vás, diváky, žádáme, abyste laskavě své družstvo povzbuzovali a podporovali slušným a sportovním způsobem a abyste pomohli vytvořit pozitivní atmosféru pro házenou. Děkujeme!“</w:t>
      </w:r>
    </w:p>
    <w:p w14:paraId="3C5E9EA5" w14:textId="14F8F9C9" w:rsidR="00232B7B" w:rsidRDefault="00232B7B" w:rsidP="00CC4C9F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8"/>
        </w:rPr>
      </w:pPr>
    </w:p>
    <w:p w14:paraId="2E933F54" w14:textId="77777777" w:rsidR="00232B7B" w:rsidRPr="001B1089" w:rsidRDefault="00232B7B" w:rsidP="00CC4C9F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8"/>
        </w:rPr>
      </w:pPr>
    </w:p>
    <w:p w14:paraId="130FB94E" w14:textId="70663403" w:rsidR="00801222" w:rsidRPr="001B1089" w:rsidRDefault="00801222" w:rsidP="00CC4C9F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8"/>
        </w:rPr>
      </w:pPr>
      <w:r w:rsidRPr="001B1089">
        <w:rPr>
          <w:rFonts w:ascii="Times New Roman" w:hAnsi="Times New Roman" w:cs="Times New Roman"/>
          <w:color w:val="auto"/>
          <w:sz w:val="28"/>
        </w:rPr>
        <w:lastRenderedPageBreak/>
        <w:t>Další doporučen</w:t>
      </w:r>
      <w:r w:rsidR="00FE09DA" w:rsidRPr="001B1089">
        <w:rPr>
          <w:rFonts w:ascii="Times New Roman" w:hAnsi="Times New Roman" w:cs="Times New Roman"/>
          <w:color w:val="auto"/>
          <w:sz w:val="28"/>
        </w:rPr>
        <w:t>é</w:t>
      </w:r>
      <w:r w:rsidRPr="001B1089">
        <w:rPr>
          <w:rFonts w:ascii="Times New Roman" w:hAnsi="Times New Roman" w:cs="Times New Roman"/>
          <w:color w:val="auto"/>
          <w:sz w:val="28"/>
        </w:rPr>
        <w:t xml:space="preserve"> informace divákům: </w:t>
      </w:r>
    </w:p>
    <w:p w14:paraId="5D4492AB" w14:textId="4270DB25" w:rsidR="00801222" w:rsidRPr="001B1089" w:rsidRDefault="003F4E33" w:rsidP="00CC4C9F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8"/>
        </w:rPr>
      </w:pPr>
      <w:r w:rsidRPr="001B1089">
        <w:rPr>
          <w:rFonts w:ascii="Times New Roman" w:hAnsi="Times New Roman" w:cs="Times New Roman"/>
          <w:color w:val="auto"/>
          <w:sz w:val="28"/>
        </w:rPr>
        <w:tab/>
      </w:r>
      <w:r w:rsidR="00801222" w:rsidRPr="001B1089">
        <w:rPr>
          <w:rFonts w:ascii="Times New Roman" w:hAnsi="Times New Roman" w:cs="Times New Roman"/>
          <w:color w:val="auto"/>
          <w:sz w:val="28"/>
        </w:rPr>
        <w:t>„Svou účastí na tomto utkání berete na vědomí Výzvu Fair Play a hlásíte se</w:t>
      </w:r>
      <w:r w:rsidR="00605222" w:rsidRPr="001B1089">
        <w:rPr>
          <w:rFonts w:ascii="Times New Roman" w:hAnsi="Times New Roman" w:cs="Times New Roman"/>
          <w:color w:val="auto"/>
          <w:sz w:val="28"/>
        </w:rPr>
        <w:t> </w:t>
      </w:r>
      <w:r w:rsidR="00801222" w:rsidRPr="001B1089">
        <w:rPr>
          <w:rFonts w:ascii="Times New Roman" w:hAnsi="Times New Roman" w:cs="Times New Roman"/>
          <w:color w:val="auto"/>
          <w:sz w:val="28"/>
        </w:rPr>
        <w:t xml:space="preserve">k naplňování principů fair-play. Nerespektováním této výzvy byste naopak náš klub vystavili nebezpečí udělení sankcí ze strany řídícího orgánu soutěže.“ </w:t>
      </w:r>
    </w:p>
    <w:p w14:paraId="2ABB7FD7" w14:textId="77777777" w:rsidR="00801222" w:rsidRPr="001B1089" w:rsidRDefault="003F4E33" w:rsidP="00CC4C9F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8"/>
        </w:rPr>
      </w:pPr>
      <w:r w:rsidRPr="001B1089">
        <w:rPr>
          <w:rFonts w:ascii="Times New Roman" w:hAnsi="Times New Roman" w:cs="Times New Roman"/>
          <w:color w:val="auto"/>
          <w:sz w:val="28"/>
        </w:rPr>
        <w:tab/>
      </w:r>
      <w:r w:rsidR="00801222" w:rsidRPr="001B1089">
        <w:rPr>
          <w:rFonts w:ascii="Times New Roman" w:hAnsi="Times New Roman" w:cs="Times New Roman"/>
          <w:color w:val="auto"/>
          <w:sz w:val="28"/>
        </w:rPr>
        <w:t xml:space="preserve">2. Před utkáním mládeže je klub povinen diváky informovat o znění Výzvy fair play například prostřednictvím veřejného rozhlasového zařízení v hale nebo na letácích, případně vstupenkách. </w:t>
      </w:r>
    </w:p>
    <w:p w14:paraId="76242D26" w14:textId="102713FF" w:rsidR="00801222" w:rsidRPr="001B1089" w:rsidRDefault="003F4E33" w:rsidP="00CC4C9F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8"/>
        </w:rPr>
      </w:pPr>
      <w:r w:rsidRPr="001B1089">
        <w:rPr>
          <w:rFonts w:ascii="Times New Roman" w:hAnsi="Times New Roman" w:cs="Times New Roman"/>
          <w:color w:val="auto"/>
          <w:sz w:val="28"/>
        </w:rPr>
        <w:tab/>
      </w:r>
      <w:r w:rsidR="00801222" w:rsidRPr="001B1089">
        <w:rPr>
          <w:rFonts w:ascii="Times New Roman" w:hAnsi="Times New Roman" w:cs="Times New Roman"/>
          <w:color w:val="auto"/>
          <w:sz w:val="28"/>
        </w:rPr>
        <w:t>3. Hlavní pořadatel (pořadatelská služba) je povinen dohlížet v průběhu utkání na chování diváků. Jestliže zjistí, že se i přes podanou informaci některý divák chová v rozporu s Výzvou fair-play, je povinností pořadatel</w:t>
      </w:r>
      <w:r w:rsidR="00520CB3" w:rsidRPr="001B1089">
        <w:rPr>
          <w:rFonts w:ascii="Times New Roman" w:hAnsi="Times New Roman" w:cs="Times New Roman"/>
          <w:color w:val="auto"/>
          <w:sz w:val="28"/>
        </w:rPr>
        <w:t>ské</w:t>
      </w:r>
      <w:r w:rsidR="00801222" w:rsidRPr="001B1089">
        <w:rPr>
          <w:rFonts w:ascii="Times New Roman" w:hAnsi="Times New Roman" w:cs="Times New Roman"/>
          <w:color w:val="auto"/>
          <w:sz w:val="28"/>
        </w:rPr>
        <w:t xml:space="preserve"> služby</w:t>
      </w:r>
      <w:r w:rsidR="00520CB3" w:rsidRPr="001B1089">
        <w:rPr>
          <w:rFonts w:ascii="Times New Roman" w:hAnsi="Times New Roman" w:cs="Times New Roman"/>
          <w:color w:val="auto"/>
          <w:sz w:val="28"/>
        </w:rPr>
        <w:t xml:space="preserve"> (hlavní pořadatel)</w:t>
      </w:r>
      <w:r w:rsidR="00801222" w:rsidRPr="001B1089">
        <w:rPr>
          <w:rFonts w:ascii="Times New Roman" w:hAnsi="Times New Roman" w:cs="Times New Roman"/>
          <w:color w:val="auto"/>
          <w:sz w:val="28"/>
        </w:rPr>
        <w:t xml:space="preserve"> proti takovým divákům okamžitě zasáhnout, vyzvat je k</w:t>
      </w:r>
      <w:r w:rsidR="00605222" w:rsidRPr="001B1089">
        <w:rPr>
          <w:rFonts w:ascii="Times New Roman" w:hAnsi="Times New Roman" w:cs="Times New Roman"/>
          <w:color w:val="auto"/>
          <w:sz w:val="28"/>
        </w:rPr>
        <w:t> </w:t>
      </w:r>
      <w:r w:rsidR="00801222" w:rsidRPr="001B1089">
        <w:rPr>
          <w:rFonts w:ascii="Times New Roman" w:hAnsi="Times New Roman" w:cs="Times New Roman"/>
          <w:color w:val="auto"/>
          <w:sz w:val="28"/>
        </w:rPr>
        <w:t xml:space="preserve">zanechání nepatřičných projevů a k plnění Výzvy Fair-play. </w:t>
      </w:r>
    </w:p>
    <w:p w14:paraId="64E50709" w14:textId="214714FE" w:rsidR="00801222" w:rsidRPr="001B1089" w:rsidRDefault="003F4E33" w:rsidP="00CC4C9F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8"/>
        </w:rPr>
      </w:pPr>
      <w:r w:rsidRPr="001B1089">
        <w:rPr>
          <w:rFonts w:ascii="Times New Roman" w:hAnsi="Times New Roman" w:cs="Times New Roman"/>
          <w:color w:val="auto"/>
          <w:sz w:val="28"/>
        </w:rPr>
        <w:tab/>
      </w:r>
      <w:r w:rsidR="00801222" w:rsidRPr="001B1089">
        <w:rPr>
          <w:rFonts w:ascii="Times New Roman" w:hAnsi="Times New Roman" w:cs="Times New Roman"/>
          <w:color w:val="auto"/>
          <w:sz w:val="28"/>
        </w:rPr>
        <w:t>4. V případě, že divák nebo diváci nezmění svoje nevhodné chování, budou pořadatelskou službou okamžitě vyvedeni z místa konání utkání do míst, ze</w:t>
      </w:r>
      <w:r w:rsidR="00605222" w:rsidRPr="001B1089">
        <w:rPr>
          <w:rFonts w:ascii="Times New Roman" w:hAnsi="Times New Roman" w:cs="Times New Roman"/>
          <w:color w:val="auto"/>
          <w:sz w:val="28"/>
        </w:rPr>
        <w:t> </w:t>
      </w:r>
      <w:r w:rsidR="00801222" w:rsidRPr="001B1089">
        <w:rPr>
          <w:rFonts w:ascii="Times New Roman" w:hAnsi="Times New Roman" w:cs="Times New Roman"/>
          <w:color w:val="auto"/>
          <w:sz w:val="28"/>
        </w:rPr>
        <w:t>kterých nebude (nebudou) dále moci ovlivňovat aktéry utkání a kazit sportovní atmosféru.</w:t>
      </w:r>
    </w:p>
    <w:p w14:paraId="414BC467" w14:textId="3CE4CD28" w:rsidR="00801222" w:rsidRPr="001B1089" w:rsidRDefault="003F4E33" w:rsidP="00CC4C9F">
      <w:pPr>
        <w:pStyle w:val="Default"/>
        <w:spacing w:after="240"/>
        <w:jc w:val="both"/>
        <w:rPr>
          <w:rFonts w:ascii="Times New Roman" w:hAnsi="Times New Roman" w:cs="Times New Roman"/>
          <w:color w:val="auto"/>
          <w:sz w:val="28"/>
        </w:rPr>
      </w:pPr>
      <w:r w:rsidRPr="001B1089">
        <w:rPr>
          <w:rFonts w:ascii="Times New Roman" w:hAnsi="Times New Roman" w:cs="Times New Roman"/>
          <w:color w:val="auto"/>
          <w:sz w:val="28"/>
        </w:rPr>
        <w:tab/>
      </w:r>
      <w:r w:rsidR="00801222" w:rsidRPr="001B1089">
        <w:rPr>
          <w:rFonts w:ascii="Times New Roman" w:hAnsi="Times New Roman" w:cs="Times New Roman"/>
          <w:color w:val="auto"/>
          <w:sz w:val="28"/>
        </w:rPr>
        <w:t>5. Veškeré kroky uvedené v odst. 1 až 3 výše musí pořadatelská služba činit samostatně, aktivně a nezávisle na pokynech rozhodčích, případně přítomného delegáta či jiného orgánu KSH nebo ČSH.</w:t>
      </w:r>
    </w:p>
    <w:p w14:paraId="12BA7EFC" w14:textId="00F18D71" w:rsidR="00801222" w:rsidRPr="001B1089" w:rsidRDefault="003F4E33" w:rsidP="00CC4C9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1089">
        <w:rPr>
          <w:rFonts w:ascii="Times New Roman" w:hAnsi="Times New Roman" w:cs="Times New Roman"/>
          <w:color w:val="auto"/>
          <w:sz w:val="28"/>
        </w:rPr>
        <w:tab/>
      </w:r>
      <w:r w:rsidR="00801222" w:rsidRPr="001B1089">
        <w:rPr>
          <w:rFonts w:ascii="Times New Roman" w:hAnsi="Times New Roman" w:cs="Times New Roman"/>
          <w:color w:val="auto"/>
          <w:sz w:val="28"/>
        </w:rPr>
        <w:t>6. Nezajistí-li hlavní pořadatel důstojný průběh utkání a dojde-li k porušení těchto zásad, rozhodčí tuto skutečnost uvedou v zápise a klub bude bez</w:t>
      </w:r>
      <w:r w:rsidR="00605222" w:rsidRPr="001B1089">
        <w:rPr>
          <w:rFonts w:ascii="Times New Roman" w:hAnsi="Times New Roman" w:cs="Times New Roman"/>
          <w:color w:val="auto"/>
          <w:sz w:val="28"/>
        </w:rPr>
        <w:t> </w:t>
      </w:r>
      <w:r w:rsidR="00801222" w:rsidRPr="001B1089">
        <w:rPr>
          <w:rFonts w:ascii="Times New Roman" w:hAnsi="Times New Roman" w:cs="Times New Roman"/>
          <w:color w:val="auto"/>
          <w:sz w:val="28"/>
        </w:rPr>
        <w:t>disciplinárního řízení v rámci kompetencí Soutěžní komise ČSH sankcionován za</w:t>
      </w:r>
      <w:r w:rsidR="00605222" w:rsidRPr="001B1089">
        <w:rPr>
          <w:rFonts w:ascii="Times New Roman" w:hAnsi="Times New Roman" w:cs="Times New Roman"/>
          <w:color w:val="auto"/>
          <w:sz w:val="28"/>
        </w:rPr>
        <w:t> </w:t>
      </w:r>
      <w:r w:rsidR="00801222" w:rsidRPr="001B1089">
        <w:rPr>
          <w:rFonts w:ascii="Times New Roman" w:hAnsi="Times New Roman" w:cs="Times New Roman"/>
          <w:color w:val="auto"/>
          <w:sz w:val="28"/>
        </w:rPr>
        <w:t>neplnění povinností pořadatelské služby pokutou ve výši 2 000,- Kč za dané utkání. V opakovaných případech bude proti klubu zahájeno disciplinární řízení.</w:t>
      </w:r>
      <w:r w:rsidR="00801222" w:rsidRPr="001B1089">
        <w:rPr>
          <w:rFonts w:ascii="Times New Roman" w:hAnsi="Times New Roman" w:cs="Times New Roman"/>
          <w:color w:val="auto"/>
        </w:rPr>
        <w:t xml:space="preserve"> </w:t>
      </w:r>
    </w:p>
    <w:p w14:paraId="5F4C232E" w14:textId="656EE34C" w:rsidR="00247ECF" w:rsidRPr="001B1089" w:rsidRDefault="00247ECF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18. Zajištění turnajů </w:t>
      </w:r>
      <w:r w:rsidR="00917231"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Ž</w:t>
      </w: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ákovské ligy </w:t>
      </w:r>
    </w:p>
    <w:p w14:paraId="06EE728E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Pořadatelství turnajů</w:t>
      </w:r>
    </w:p>
    <w:p w14:paraId="04AD7912" w14:textId="77777777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 případě pořádání turnaje je pořadatel povinen zajistit a uhradit veškerou organizaci turnaje a další služby s ním bezprostředně související a to zejména:</w:t>
      </w:r>
    </w:p>
    <w:p w14:paraId="0E0A65F5" w14:textId="77777777" w:rsidR="00247ECF" w:rsidRPr="001B1089" w:rsidRDefault="00247ECF" w:rsidP="00247EC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užívání vlastní haly nebo nájem haly po celou dobu turnaje dle čl. 11 tohoto rozpisu</w:t>
      </w:r>
    </w:p>
    <w:p w14:paraId="3FF6273E" w14:textId="77777777" w:rsidR="00247ECF" w:rsidRPr="001B1089" w:rsidRDefault="00247ECF" w:rsidP="00247EC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provedení rozlosování na základě předepsaného rozpisu dle čl. 6 tohoto rozpisu</w:t>
      </w:r>
    </w:p>
    <w:p w14:paraId="614C5B0D" w14:textId="77777777" w:rsidR="00247ECF" w:rsidRPr="001B1089" w:rsidRDefault="00247ECF" w:rsidP="00247EC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lastRenderedPageBreak/>
        <w:t>rozeslání rozpisu turnaje nejpozději 10 dní před konáním družstvům, řídícímu orgánu soutěže a KR ČSH</w:t>
      </w:r>
    </w:p>
    <w:p w14:paraId="494DE048" w14:textId="77777777" w:rsidR="00247ECF" w:rsidRPr="001B1089" w:rsidRDefault="00247ECF" w:rsidP="00247EC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zajištění oficiálních zápisů o utkání dle čl. 17 tohoto rozpisu</w:t>
      </w:r>
    </w:p>
    <w:p w14:paraId="4BA20CD6" w14:textId="77777777" w:rsidR="00247ECF" w:rsidRPr="001B1089" w:rsidRDefault="00247ECF" w:rsidP="00247EC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zajištění pořadatelské a zdravotní služby</w:t>
      </w:r>
    </w:p>
    <w:p w14:paraId="22D3500D" w14:textId="77777777" w:rsidR="00247ECF" w:rsidRPr="001B1089" w:rsidRDefault="00247ECF" w:rsidP="00247EC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výplata </w:t>
      </w:r>
      <w:r w:rsidR="007E400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odměn a náhrad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delegovaných rozhodčích dle čl. 3 tohoto rozpisu</w:t>
      </w:r>
      <w:r w:rsidR="007E400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nejpozději po skončení 4. utkání turnaje</w:t>
      </w:r>
    </w:p>
    <w:p w14:paraId="1FB2C230" w14:textId="1619E9EE" w:rsidR="00247ECF" w:rsidRPr="001B1089" w:rsidRDefault="00247ECF" w:rsidP="00247EC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stravování rozhodčích (</w:t>
      </w:r>
      <w:r w:rsidR="00474A8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upravuje rozpis soutěží ČSH 2</w:t>
      </w:r>
      <w:r w:rsidR="001E416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4</w:t>
      </w:r>
      <w:r w:rsidR="00474A8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/2</w:t>
      </w:r>
      <w:r w:rsidR="001E416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5</w:t>
      </w:r>
      <w:r w:rsidR="00474A80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čl. 2.5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)</w:t>
      </w:r>
    </w:p>
    <w:p w14:paraId="04B8706D" w14:textId="51B3E746" w:rsidR="00247ECF" w:rsidRPr="001B1089" w:rsidRDefault="00247ECF" w:rsidP="00640D6E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Ve zdůvodněných případech, kdy se družstvo nemůže prokazatelně dostavit z důvodu dopravní vzdálenosti, je pořadatel povinen nabídnout a rezervovat nocleh ve standardu ubytování ve škole ve vlastních spac</w:t>
      </w:r>
      <w:r w:rsidR="008B28A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ácích a matracích v ceně max. </w:t>
      </w:r>
      <w:r w:rsidR="009B37B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200</w:t>
      </w:r>
      <w:r w:rsidR="00876DD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Kč za osobu a noc. Platbu provádí družstvo buď přímo ubytovacímu zařízení, nebo prostřednictvím pořadatele turnaje. V takovém případě má pořadatel nárok na proplacení nákladů na ubytování od družstva v plné výši v okamžiku příjezdu družstva.</w:t>
      </w:r>
    </w:p>
    <w:p w14:paraId="32BDC30A" w14:textId="6BF59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Hlášení výsledků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D2FE73F" w14:textId="459B5131" w:rsidR="006C71AA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        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="00F1210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Pořadatel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turnaje je povinen zadat údaje ze zápisu o utkání v</w:t>
      </w:r>
      <w:r w:rsidR="00F1210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turnaji</w:t>
      </w:r>
      <w:r w:rsidR="00F1210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do</w:t>
      </w:r>
      <w:r w:rsidR="00605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systému </w:t>
      </w:r>
      <w:r w:rsidR="00CC4C9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 – net 2.0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a to nejpozději do 20:00 prvního pracovního dne po skončení turnaje. Pořadatel turnaje je povinen zaslat kompletní výsledky turnaje e-mailem na adresu řídícího </w:t>
      </w:r>
      <w:r w:rsidR="00CC4C9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orgánu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soutěže, a to nejpozději do 12:00 prvního pracovního dne po skončení turnaje.  </w:t>
      </w:r>
    </w:p>
    <w:p w14:paraId="31C75BF1" w14:textId="77777777" w:rsidR="00247ECF" w:rsidRPr="001B1089" w:rsidRDefault="00876DD1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19. Hodnocení výsledků soutěží</w:t>
      </w:r>
    </w:p>
    <w:p w14:paraId="481EF05C" w14:textId="2708C885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        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Stanovení pořadí družstev v soutěži se provádí podle následujícího klíče. Vítězem celé soutěže Žákovské ligy je družstvo, které za 6 turnajů získá nejvíce bodů. V případě rovnosti bodů dvou nebo více družstev rozhoduje o umístění v</w:t>
      </w:r>
      <w:r w:rsidR="00605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soutěži:</w:t>
      </w:r>
    </w:p>
    <w:p w14:paraId="65F7E205" w14:textId="77777777" w:rsidR="00247ECF" w:rsidRPr="001B1089" w:rsidRDefault="00247ECF" w:rsidP="00247E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větší počet bodů ze vzájemných utkání</w:t>
      </w:r>
    </w:p>
    <w:p w14:paraId="71A6C988" w14:textId="77777777" w:rsidR="00247ECF" w:rsidRPr="001B1089" w:rsidRDefault="00247ECF" w:rsidP="00247E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větší rozdíl branek ze vzájemných utkání</w:t>
      </w:r>
    </w:p>
    <w:p w14:paraId="268E5FF1" w14:textId="77777777" w:rsidR="00247ECF" w:rsidRPr="001B1089" w:rsidRDefault="00247ECF" w:rsidP="00247E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větší počet vstřelených branek ze vzájemných utkání </w:t>
      </w:r>
    </w:p>
    <w:p w14:paraId="3F036C01" w14:textId="77777777" w:rsidR="00247ECF" w:rsidRPr="001B1089" w:rsidRDefault="00247ECF" w:rsidP="00247E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větší rozdíl branek ze všech utkání </w:t>
      </w:r>
    </w:p>
    <w:p w14:paraId="015338D6" w14:textId="77777777" w:rsidR="00247ECF" w:rsidRPr="001B1089" w:rsidRDefault="00247ECF" w:rsidP="00247E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větší počet vstřelených branek ze všech utkání</w:t>
      </w:r>
    </w:p>
    <w:p w14:paraId="70B80E61" w14:textId="368BEBED" w:rsidR="00ED75D3" w:rsidRPr="001B1089" w:rsidRDefault="00247ECF" w:rsidP="00247EC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los</w:t>
      </w:r>
    </w:p>
    <w:p w14:paraId="0E54B5CE" w14:textId="77777777" w:rsidR="00ED75D3" w:rsidRPr="001B1089" w:rsidRDefault="00ED75D3">
      <w:pPr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br w:type="page"/>
      </w:r>
    </w:p>
    <w:p w14:paraId="5E47FB07" w14:textId="773383D0" w:rsidR="00247ECF" w:rsidRPr="001B1089" w:rsidRDefault="00247ECF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20. Disciplinární řízení</w:t>
      </w:r>
    </w:p>
    <w:p w14:paraId="0A7631A2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Postup disciplinárního řízení</w:t>
      </w:r>
    </w:p>
    <w:p w14:paraId="38AF2B2E" w14:textId="7024C4C4" w:rsidR="009B37BA" w:rsidRPr="001B1089" w:rsidRDefault="00247ECF" w:rsidP="009B37B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Pokud se hráč, trenér či funkcionář, zúčastňující se utkání ŽL, dopustí závažného provinění</w:t>
      </w:r>
      <w:r w:rsidR="007E400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– faulu nebo nesportovního chování,</w:t>
      </w:r>
      <w:r w:rsidR="009A751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7E400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za které je potrestán diskvalifikací se zvláštní</w:t>
      </w:r>
      <w:r w:rsidR="00A2303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písemnou</w:t>
      </w:r>
      <w:r w:rsidR="007E400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A2303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zprávou</w:t>
      </w:r>
      <w:r w:rsidR="007E400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(D+, modrá karta)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má </w:t>
      </w:r>
      <w:r w:rsidR="007E400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do </w:t>
      </w:r>
      <w:r w:rsidR="009B37B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konce daného turnaje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zastavenou činnost (trest ZZČ nebo ZVF podle Disciplinárního řádu ČSH). Pro trenéry a funkcionáře to znamená, že se nesmí během</w:t>
      </w:r>
      <w:r w:rsidR="007E400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dalších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utkání</w:t>
      </w:r>
      <w:r w:rsidR="007E400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turnaje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pohybovat v prostoru, kde by mohli přímo ovlivňovat družstvo.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37B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Další postup disciplinárního řízení se řídí aktuálně platným DŘH. </w:t>
      </w:r>
    </w:p>
    <w:p w14:paraId="5E58531B" w14:textId="4A76E269" w:rsidR="00247ECF" w:rsidRPr="001B1089" w:rsidRDefault="007E4004" w:rsidP="002323D3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Stejně se postupuje, pokud by se hráč nebo funkcionář dopustil hrubého nebo mimořádného nesportovního chování, které vyžaduje disciplinární řízení, po skončení utkání. 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Další úprava ZZČ a ZVF se řídí platným DŘH čl. 5 a 6.</w:t>
      </w:r>
      <w:r w:rsidR="009B37B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Další postup disciplinárního řízení se řídí aktuálně platným DŘH. </w:t>
      </w:r>
    </w:p>
    <w:p w14:paraId="7D791BA1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Poplatek z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a disciplinární</w:t>
      </w: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 xml:space="preserve"> řízení</w:t>
      </w:r>
    </w:p>
    <w:p w14:paraId="2A25F41D" w14:textId="29A53F5D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Za projednání každ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ého disciplinárního provinění je stanovena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povinnost uhradit poplatek za disciplinární řízení. Příslušný poplatek musí být zaplacen nejpozději do zahájení disciplinárního řízení. Výše poplatku p</w:t>
      </w:r>
      <w:r w:rsidR="00876DD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ro </w:t>
      </w:r>
      <w:r w:rsidR="00F2752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Ž</w:t>
      </w:r>
      <w:r w:rsidR="00876DD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ákovskou ligu činí </w:t>
      </w:r>
      <w:r w:rsidR="0008046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1000</w:t>
      </w:r>
      <w:r w:rsidR="00876DD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Kč.</w:t>
      </w:r>
    </w:p>
    <w:p w14:paraId="0D12C37F" w14:textId="718B030D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Disciplinární postihy za přímou diskvalifikaci hráče (netýká se diskvalifikace za</w:t>
      </w:r>
      <w:r w:rsidR="00F2752B"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třetí vyloučení)</w:t>
      </w:r>
    </w:p>
    <w:p w14:paraId="23E29324" w14:textId="7BF72704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Za druhou přímou diskvalifikaci, kterou obdrží hráč v soutěži jednoho ročníku Ž</w:t>
      </w:r>
      <w:r w:rsidR="00F2752B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ákovské ligy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je automaticky bez disciplinárního řízení potrestán nepodmíněným zastavením závodní činnosti (ZZČ) na 1 utkání ŽL. </w:t>
      </w:r>
      <w:r w:rsidR="00F3410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Hráč tedy nesmí nastoupit k</w:t>
      </w:r>
      <w:r w:rsidR="005F3C5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 jednomu </w:t>
      </w:r>
      <w:r w:rsidR="00F3410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utkání jeho družstva, které následuje po utkání, ve kterém hráči byla udělena druhá přímá diskvalifikace.</w:t>
      </w:r>
    </w:p>
    <w:p w14:paraId="463381CD" w14:textId="16F1C40B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Hráč, který v průběhu soutěžního ročníku v ŽL obdrží třetí přímou diskvalifikaci, bude automaticky bez disciplinárního řízení potrestán nepodmíněným zastavením závodní činnosti (ZZČ) na 2 utkání ŽL. </w:t>
      </w:r>
      <w:r w:rsidR="005F3C5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Hráč tedy nesmí nastoupit ke dvěma</w:t>
      </w:r>
      <w:r w:rsidR="003F57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po sobě jdoucím</w:t>
      </w:r>
      <w:r w:rsidR="005F3C5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utkání</w:t>
      </w:r>
      <w:r w:rsidR="003F57B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</w:t>
      </w:r>
      <w:r w:rsidR="005F3C5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jeho družstva, která následují po utkání, ve kterém hráči byla udělena třetí přímá diskvalifikace.</w:t>
      </w:r>
    </w:p>
    <w:p w14:paraId="47C73BB1" w14:textId="318C2097" w:rsidR="00247ECF" w:rsidRPr="001B1089" w:rsidRDefault="00247ECF" w:rsidP="003F57B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Hráč, který v průběhu soutěžního ročníku ŽL obdrží čtvrtou a další přímou diskvalifikaci, již podléhá disciplinárnímu řízení.</w:t>
      </w:r>
      <w:r w:rsidR="003F57BC"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14:paraId="56A1F216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lastRenderedPageBreak/>
        <w:t>Disciplinární postih</w:t>
      </w:r>
      <w:r w:rsidR="00876DD1"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y za diskvalifikaci funkcionáře</w:t>
      </w:r>
    </w:p>
    <w:p w14:paraId="1DD10F75" w14:textId="77777777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Za každou diskvalifikaci, kterou obdrží funkcionář v soutěži žákovské ligy, bude automaticky bez disciplinárního řízení potrestán zákazem výkon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 funkce (ZVF) na 1 utkání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784AD0B2" w14:textId="13A1DAFE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Funkcionář, </w:t>
      </w:r>
      <w:r w:rsidR="00F37B9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jemuž byla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 průběhu soutěžního ročníku ŽL </w:t>
      </w:r>
      <w:r w:rsidR="00F37B9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udělena</w:t>
      </w:r>
      <w:r w:rsidR="003746B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druh</w:t>
      </w:r>
      <w:r w:rsidR="00F37B9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á</w:t>
      </w:r>
      <w:r w:rsidR="003746B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diskvalifikac</w:t>
      </w:r>
      <w:r w:rsidR="00F37B9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</w:t>
      </w:r>
      <w:r w:rsidR="003746B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58748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je</w:t>
      </w:r>
      <w:r w:rsidR="005779F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automaticky</w:t>
      </w:r>
      <w:r w:rsidR="0058748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bez</w:t>
      </w:r>
      <w:r w:rsidR="0058748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disciplinárního řízení</w:t>
      </w:r>
      <w:r w:rsidR="000A2E7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E86BD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potrestán</w:t>
      </w:r>
      <w:r w:rsidR="004C039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nepodmíněn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ý</w:t>
      </w:r>
      <w:r w:rsidR="00E86BD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zákaz</w:t>
      </w:r>
      <w:r w:rsidR="00E86BD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em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výkonu funkce (ZVF) na následující </w:t>
      </w:r>
      <w:r w:rsidR="0008046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 utkání ŽL (trest se případně přenáší do následujícího turnaje)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69352AA8" w14:textId="77777777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Funkcionář, který v průběhu soutěžního ročníku obdrží třetí a další diskvalifikaci, již podléhá disciplinárnímu řízení.</w:t>
      </w:r>
      <w:r w:rsidR="00876DD1"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B261BF" w14:textId="66602BAB" w:rsidR="00BC1E09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Za sledování a vedení si přehledu udělených č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ervených karet hráčů a</w:t>
      </w:r>
      <w:r w:rsidR="00605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funkcionářů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je zodpovědný oddíl a diskvalifikace se pro účel výše uvedených postihů sčítají za celý ročník ŽL</w:t>
      </w:r>
      <w:r w:rsidR="00F31AE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včetně kvalifikace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515CB9BF" w14:textId="77777777" w:rsidR="006B629D" w:rsidRPr="001B1089" w:rsidRDefault="00BC1E09" w:rsidP="00BC1E09">
      <w:pPr>
        <w:spacing w:before="100" w:beforeAutospacing="1" w:after="0" w:line="240" w:lineRule="auto"/>
        <w:ind w:left="-737" w:firstLine="709"/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u w:val="single"/>
          <w:lang w:eastAsia="cs-CZ"/>
        </w:rPr>
        <w:t>Námitky a odvolání</w:t>
      </w:r>
    </w:p>
    <w:p w14:paraId="6D4EBAA9" w14:textId="77777777" w:rsidR="006B629D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 rámci turnaje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může odpovědný vedoucí družstva podat námitku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proti konkrétním událostem v průběhu utkání písemně hlavnímu rozhodčímu s vkladem </w:t>
      </w:r>
      <w:r w:rsidR="0008046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1000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Kč, a to nejpozději 30 minut po skončení utkání (tj. o přestávce utkání následujícího). V případě zamítnutí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vklad propadá ve prospěch ČSH, potvrzení o úhradě vystaví dodatečně na základě zprávy hlavního rozhodčího sekretariát ČSH. </w:t>
      </w:r>
    </w:p>
    <w:p w14:paraId="005BE347" w14:textId="77777777" w:rsidR="006B629D" w:rsidRPr="001B1089" w:rsidRDefault="006B629D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Odpovědným orgánem za průběh turnaje 1. – 6. kola ŽL, který je oprávněn řešit n</w:t>
      </w:r>
      <w:r w:rsidR="008B28A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ámitky družstev v rámci turnaje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je nominovaný hlavní rozh</w:t>
      </w:r>
      <w:r w:rsidR="008B28A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odčí</w:t>
      </w:r>
      <w:r w:rsidR="00E3301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 hlavní pořadatel</w:t>
      </w:r>
      <w:r w:rsidR="008B28A6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kte</w:t>
      </w:r>
      <w:r w:rsidR="00E3301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ří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musí být přítom</w:t>
      </w:r>
      <w:r w:rsidR="00E3301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ni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až do konce turnaje. Pokud bude na turnaj Žákovské ligy delegován řídícím orgánem jako dohled také člen KM ČSH, bude tento orgán 1. </w:t>
      </w:r>
      <w:r w:rsidR="00E3301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stupně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pracovat ve složení člen KM + hlavní rozhodčí</w:t>
      </w:r>
      <w:r w:rsidR="00E3301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+ hlavní pořadatel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661DF464" w14:textId="6A056BF1" w:rsidR="00876DD1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Odvolání proti rozhodnutí </w:t>
      </w:r>
      <w:r w:rsidR="00E3301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orgánu 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1. </w:t>
      </w:r>
      <w:r w:rsidR="00E3301A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stupně</w:t>
      </w:r>
      <w:r w:rsidR="006B629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na turnaji ŽL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lze podat do</w:t>
      </w:r>
      <w:r w:rsidR="00605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3</w:t>
      </w:r>
      <w:r w:rsidR="00D1411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pracovních dní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ve smyslu soutěžního řádu házené čl. 50.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 odvolacím orgánem je soutěžní komise ČSH.</w:t>
      </w:r>
    </w:p>
    <w:p w14:paraId="263597B1" w14:textId="77777777" w:rsidR="00247ECF" w:rsidRPr="001B1089" w:rsidRDefault="00247ECF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21. Zasedání komisí a odpovědní funkcionáři</w:t>
      </w:r>
    </w:p>
    <w:p w14:paraId="71092256" w14:textId="097C883B" w:rsidR="00247ECF" w:rsidRPr="001B1089" w:rsidRDefault="00247ECF" w:rsidP="00247ECF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 průběhu soutěžního ročníku zasedá disciplinární komise (DK ČSH) v sídle ČSH.</w:t>
      </w:r>
    </w:p>
    <w:p w14:paraId="06773090" w14:textId="61F8D399" w:rsidR="00F93C07" w:rsidRPr="001B1089" w:rsidRDefault="008B28A6" w:rsidP="000455A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lastRenderedPageBreak/>
        <w:t>Řídícím orgánem Ž</w:t>
      </w:r>
      <w:r w:rsidR="0036308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ákovské ligy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je KM ČSH,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která pověřila operativním výkonem této funkce </w:t>
      </w:r>
      <w:r w:rsidR="0036308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manažera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mládeže</w:t>
      </w:r>
      <w:r w:rsidR="0036308C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 pana</w:t>
      </w:r>
      <w:r w:rsidR="00D1077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E45A7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Matěje </w:t>
      </w:r>
      <w:proofErr w:type="spellStart"/>
      <w:r w:rsidR="00E45A7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Oškeru</w:t>
      </w:r>
      <w:proofErr w:type="spellEnd"/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, tel. </w:t>
      </w:r>
      <w:r w:rsidR="00FB44C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778 882</w:t>
      </w:r>
      <w:r w:rsidR="00E45A7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858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 email:</w:t>
      </w:r>
      <w:r w:rsidR="00FB44C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hyperlink r:id="rId20" w:history="1">
        <w:r w:rsidR="00FB44CD" w:rsidRPr="001B1089">
          <w:rPr>
            <w:rStyle w:val="Hypertextovodkaz"/>
            <w:rFonts w:ascii="Times New Roman" w:eastAsia="Times New Roman" w:hAnsi="Times New Roman" w:cs="Times New Roman"/>
            <w:color w:val="auto"/>
            <w:sz w:val="28"/>
            <w:szCs w:val="24"/>
            <w:lang w:eastAsia="cs-CZ"/>
          </w:rPr>
          <w:t>oskera@handball.cz</w:t>
        </w:r>
      </w:hyperlink>
      <w:r w:rsidR="005E7CF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. </w:t>
      </w:r>
    </w:p>
    <w:p w14:paraId="6C92B00E" w14:textId="7FE29CA1" w:rsidR="00247ECF" w:rsidRPr="001B1089" w:rsidRDefault="00876DD1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Zásadní rozhodnutí v řízení ŽL</w:t>
      </w:r>
      <w:r w:rsidR="005E7CF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(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například </w:t>
      </w:r>
      <w:r w:rsidR="005E7CF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pořádání šestého kola, pořádání uvolněného turnaje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, rozhodnutí o kontumaci atd.) provádí nebo potvrzuje</w:t>
      </w:r>
      <w:r w:rsidR="005E7CF1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vždy Komise mládeže 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ČSH</w:t>
      </w:r>
      <w:r w:rsidR="002323D3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hlasováním</w:t>
      </w:r>
      <w:r w:rsidR="00CD213D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527905D7" w14:textId="77777777" w:rsidR="00247ECF" w:rsidRPr="001B1089" w:rsidRDefault="00876DD1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22. Poplatky</w:t>
      </w:r>
    </w:p>
    <w:p w14:paraId="024A52E1" w14:textId="176E9B91" w:rsidR="00247ECF" w:rsidRPr="001B1089" w:rsidRDefault="00E3301A" w:rsidP="00640D6E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P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oplat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ek</w:t>
      </w:r>
      <w:r w:rsidR="00247ECF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v souvislosti s účastí v ŽL určuj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e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Ekonomická směrnice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ČSH a j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e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rovněž uveden v Rozpisu soutěž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e v článku 4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.</w:t>
      </w:r>
    </w:p>
    <w:p w14:paraId="785A3A9B" w14:textId="77777777" w:rsidR="00247ECF" w:rsidRPr="001B1089" w:rsidRDefault="00247ECF" w:rsidP="000B5323">
      <w:pPr>
        <w:pStyle w:val="Odstavecseseznamem"/>
        <w:spacing w:before="480" w:after="120" w:line="240" w:lineRule="auto"/>
        <w:ind w:left="340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23. Sazebník</w:t>
      </w:r>
      <w:r w:rsidR="00F93C07"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pořádkových</w:t>
      </w:r>
      <w:r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pokut</w:t>
      </w:r>
      <w:r w:rsidR="00F93C07" w:rsidRPr="001B1089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pro ŽL</w:t>
      </w:r>
    </w:p>
    <w:p w14:paraId="38874758" w14:textId="28CA8D8F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ab/>
        <w:t>Za porušení us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tanovení tohoto „Rozpisu ŽL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“ a neplnění ostatních pov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inností vůči řídícímu orgánu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může Soutěžní komise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ČSH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na základě podnětu KM</w:t>
      </w:r>
      <w:r w:rsidR="00F93C07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ČSH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nebo hlavního rozhodčího turnaje uložit oddílům peněžité pokuty až do</w:t>
      </w:r>
      <w:r w:rsidR="00605222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 </w:t>
      </w:r>
      <w:r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následující výše: </w:t>
      </w:r>
    </w:p>
    <w:p w14:paraId="38C8CF44" w14:textId="77777777" w:rsidR="00247ECF" w:rsidRPr="001B1089" w:rsidRDefault="00247ECF" w:rsidP="00247E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0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515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53"/>
      </w:tblGrid>
      <w:tr w:rsidR="001B1089" w:rsidRPr="001B1089" w14:paraId="7EE8ECA3" w14:textId="77777777" w:rsidTr="00876DD1">
        <w:trPr>
          <w:trHeight w:val="479"/>
          <w:tblCellSpacing w:w="0" w:type="dxa"/>
        </w:trPr>
        <w:tc>
          <w:tcPr>
            <w:tcW w:w="3636" w:type="pct"/>
            <w:vAlign w:val="center"/>
            <w:hideMark/>
          </w:tcPr>
          <w:p w14:paraId="0AC42472" w14:textId="35281B1E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Nedostavení se a neodehraní jednoho turnajového utkání</w:t>
            </w:r>
            <w:r w:rsidR="00640D6E"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 xml:space="preserve"> </w:t>
            </w:r>
            <w:r w:rsidR="00F93C07"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 xml:space="preserve">                                       </w:t>
            </w:r>
          </w:p>
        </w:tc>
        <w:tc>
          <w:tcPr>
            <w:tcW w:w="1364" w:type="pct"/>
            <w:vAlign w:val="center"/>
            <w:hideMark/>
          </w:tcPr>
          <w:p w14:paraId="21B6DA7F" w14:textId="0B396CFE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2.000 Kč</w:t>
            </w:r>
          </w:p>
        </w:tc>
      </w:tr>
      <w:tr w:rsidR="001B1089" w:rsidRPr="001B1089" w14:paraId="53E654E6" w14:textId="77777777" w:rsidTr="00876DD1">
        <w:trPr>
          <w:trHeight w:val="479"/>
          <w:tblCellSpacing w:w="0" w:type="dxa"/>
        </w:trPr>
        <w:tc>
          <w:tcPr>
            <w:tcW w:w="3636" w:type="pct"/>
            <w:vAlign w:val="center"/>
            <w:hideMark/>
          </w:tcPr>
          <w:p w14:paraId="48CB1363" w14:textId="77777777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Vystoupení, odhlášení ze soutěže</w:t>
            </w:r>
          </w:p>
        </w:tc>
        <w:tc>
          <w:tcPr>
            <w:tcW w:w="1364" w:type="pct"/>
            <w:vAlign w:val="center"/>
            <w:hideMark/>
          </w:tcPr>
          <w:p w14:paraId="31B3A5A4" w14:textId="3516F52F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10.000 Kč</w:t>
            </w:r>
          </w:p>
        </w:tc>
      </w:tr>
      <w:tr w:rsidR="001B1089" w:rsidRPr="001B1089" w14:paraId="26C5E1F1" w14:textId="77777777" w:rsidTr="00876DD1">
        <w:trPr>
          <w:trHeight w:val="479"/>
          <w:tblCellSpacing w:w="0" w:type="dxa"/>
        </w:trPr>
        <w:tc>
          <w:tcPr>
            <w:tcW w:w="3636" w:type="pct"/>
            <w:vAlign w:val="center"/>
            <w:hideMark/>
          </w:tcPr>
          <w:p w14:paraId="4653F0F8" w14:textId="77777777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Svévolné opuštění hrací plochy</w:t>
            </w:r>
          </w:p>
        </w:tc>
        <w:tc>
          <w:tcPr>
            <w:tcW w:w="1364" w:type="pct"/>
            <w:vAlign w:val="center"/>
            <w:hideMark/>
          </w:tcPr>
          <w:p w14:paraId="1D5025C6" w14:textId="51A60DC2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4.000 Kč</w:t>
            </w:r>
          </w:p>
        </w:tc>
      </w:tr>
      <w:tr w:rsidR="001B1089" w:rsidRPr="001B1089" w14:paraId="4C54DD14" w14:textId="77777777" w:rsidTr="00876DD1">
        <w:trPr>
          <w:trHeight w:val="479"/>
          <w:tblCellSpacing w:w="0" w:type="dxa"/>
        </w:trPr>
        <w:tc>
          <w:tcPr>
            <w:tcW w:w="3636" w:type="pct"/>
            <w:vAlign w:val="center"/>
            <w:hideMark/>
          </w:tcPr>
          <w:p w14:paraId="10799932" w14:textId="77777777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Nezaslání seznamu hráčů v termínu</w:t>
            </w:r>
          </w:p>
        </w:tc>
        <w:tc>
          <w:tcPr>
            <w:tcW w:w="1364" w:type="pct"/>
            <w:vAlign w:val="center"/>
            <w:hideMark/>
          </w:tcPr>
          <w:p w14:paraId="23F6C0F3" w14:textId="0F639665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500 Kč</w:t>
            </w:r>
          </w:p>
        </w:tc>
      </w:tr>
      <w:tr w:rsidR="001B1089" w:rsidRPr="001B1089" w14:paraId="5578868B" w14:textId="77777777" w:rsidTr="00876DD1">
        <w:trPr>
          <w:trHeight w:val="479"/>
          <w:tblCellSpacing w:w="0" w:type="dxa"/>
        </w:trPr>
        <w:tc>
          <w:tcPr>
            <w:tcW w:w="3636" w:type="pct"/>
            <w:vAlign w:val="center"/>
            <w:hideMark/>
          </w:tcPr>
          <w:p w14:paraId="6EB227F2" w14:textId="77777777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Nehlášení výsledků turnaje, utkání na ČSH</w:t>
            </w:r>
          </w:p>
        </w:tc>
        <w:tc>
          <w:tcPr>
            <w:tcW w:w="1364" w:type="pct"/>
            <w:vAlign w:val="center"/>
            <w:hideMark/>
          </w:tcPr>
          <w:p w14:paraId="43B36D65" w14:textId="24DF62A3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500 Kč</w:t>
            </w:r>
          </w:p>
        </w:tc>
      </w:tr>
      <w:tr w:rsidR="001B1089" w:rsidRPr="001B1089" w14:paraId="41D3BEB4" w14:textId="77777777" w:rsidTr="00876DD1">
        <w:trPr>
          <w:trHeight w:val="479"/>
          <w:tblCellSpacing w:w="0" w:type="dxa"/>
        </w:trPr>
        <w:tc>
          <w:tcPr>
            <w:tcW w:w="3636" w:type="pct"/>
            <w:vAlign w:val="center"/>
            <w:hideMark/>
          </w:tcPr>
          <w:p w14:paraId="0BCE6DF2" w14:textId="77777777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Pozdní příjezd k utkání SŘH čl. 41</w:t>
            </w:r>
          </w:p>
        </w:tc>
        <w:tc>
          <w:tcPr>
            <w:tcW w:w="1364" w:type="pct"/>
            <w:vAlign w:val="center"/>
            <w:hideMark/>
          </w:tcPr>
          <w:p w14:paraId="095CA287" w14:textId="670DCC81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1.000 Kč</w:t>
            </w:r>
          </w:p>
        </w:tc>
      </w:tr>
      <w:tr w:rsidR="001B1089" w:rsidRPr="001B1089" w14:paraId="658A03C9" w14:textId="77777777" w:rsidTr="00876DD1">
        <w:trPr>
          <w:trHeight w:val="479"/>
          <w:tblCellSpacing w:w="0" w:type="dxa"/>
        </w:trPr>
        <w:tc>
          <w:tcPr>
            <w:tcW w:w="3636" w:type="pct"/>
            <w:vAlign w:val="center"/>
            <w:hideMark/>
          </w:tcPr>
          <w:p w14:paraId="7347D8ED" w14:textId="77777777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Neopodstatněné čerpání čekací doby SŘH čl. 42</w:t>
            </w:r>
          </w:p>
        </w:tc>
        <w:tc>
          <w:tcPr>
            <w:tcW w:w="1364" w:type="pct"/>
            <w:vAlign w:val="center"/>
            <w:hideMark/>
          </w:tcPr>
          <w:p w14:paraId="2659FEA0" w14:textId="44ED5955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1.000 Kč</w:t>
            </w:r>
          </w:p>
        </w:tc>
      </w:tr>
      <w:tr w:rsidR="001B1089" w:rsidRPr="001B1089" w14:paraId="6080F97B" w14:textId="77777777" w:rsidTr="00640D6E">
        <w:trPr>
          <w:trHeight w:val="711"/>
          <w:tblCellSpacing w:w="0" w:type="dxa"/>
        </w:trPr>
        <w:tc>
          <w:tcPr>
            <w:tcW w:w="3636" w:type="pct"/>
            <w:vAlign w:val="center"/>
            <w:hideMark/>
          </w:tcPr>
          <w:p w14:paraId="26ADC1A2" w14:textId="77777777" w:rsidR="00640D6E" w:rsidRPr="001B1089" w:rsidRDefault="00247ECF" w:rsidP="0064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Neplnění, nerespektování příkazů řídících orgánů,</w:t>
            </w:r>
          </w:p>
          <w:p w14:paraId="7AC010AE" w14:textId="6E009053" w:rsidR="00247ECF" w:rsidRPr="001B1089" w:rsidRDefault="00247ECF" w:rsidP="0064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předpisů ČSH a rozpisu ŽL </w:t>
            </w:r>
          </w:p>
        </w:tc>
        <w:tc>
          <w:tcPr>
            <w:tcW w:w="1364" w:type="pct"/>
            <w:vAlign w:val="center"/>
            <w:hideMark/>
          </w:tcPr>
          <w:p w14:paraId="354CDB2C" w14:textId="77777777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 xml:space="preserve">od 500 do </w:t>
            </w:r>
            <w:r w:rsidR="00F5136F"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3</w:t>
            </w: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.000 Kč</w:t>
            </w:r>
          </w:p>
        </w:tc>
      </w:tr>
      <w:tr w:rsidR="001B1089" w:rsidRPr="001B1089" w14:paraId="500963D9" w14:textId="77777777" w:rsidTr="00876DD1">
        <w:trPr>
          <w:trHeight w:val="479"/>
          <w:tblCellSpacing w:w="0" w:type="dxa"/>
        </w:trPr>
        <w:tc>
          <w:tcPr>
            <w:tcW w:w="3636" w:type="pct"/>
            <w:vAlign w:val="center"/>
            <w:hideMark/>
          </w:tcPr>
          <w:p w14:paraId="4EEFBCFF" w14:textId="77777777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Nezájem o disciplinární řízení</w:t>
            </w:r>
          </w:p>
        </w:tc>
        <w:tc>
          <w:tcPr>
            <w:tcW w:w="1364" w:type="pct"/>
            <w:vAlign w:val="center"/>
            <w:hideMark/>
          </w:tcPr>
          <w:p w14:paraId="5E327041" w14:textId="420787EA" w:rsidR="00247ECF" w:rsidRPr="001B1089" w:rsidRDefault="00247ECF" w:rsidP="00247EC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</w:pPr>
            <w:r w:rsidRPr="001B1089">
              <w:rPr>
                <w:rFonts w:ascii="Times New Roman" w:eastAsia="Times New Roman" w:hAnsi="Times New Roman" w:cs="Times New Roman"/>
                <w:sz w:val="28"/>
                <w:szCs w:val="24"/>
                <w:lang w:eastAsia="cs-CZ"/>
              </w:rPr>
              <w:t>500 Kč</w:t>
            </w:r>
          </w:p>
        </w:tc>
      </w:tr>
    </w:tbl>
    <w:p w14:paraId="13486DCD" w14:textId="1257B1A3" w:rsidR="00C6305D" w:rsidRPr="001B1089" w:rsidRDefault="002323D3">
      <w:pPr>
        <w:rPr>
          <w:rFonts w:ascii="Times New Roman" w:hAnsi="Times New Roman" w:cs="Times New Roman"/>
          <w:sz w:val="28"/>
          <w:szCs w:val="28"/>
        </w:rPr>
      </w:pPr>
      <w:r w:rsidRPr="001B1089">
        <w:rPr>
          <w:rFonts w:ascii="Times New Roman" w:hAnsi="Times New Roman" w:cs="Times New Roman"/>
          <w:sz w:val="28"/>
          <w:szCs w:val="28"/>
        </w:rPr>
        <w:t xml:space="preserve">Neúčast trenéra s platnou licencí </w:t>
      </w:r>
      <w:r w:rsidR="00640D6E" w:rsidRPr="001B1089">
        <w:rPr>
          <w:rFonts w:ascii="Times New Roman" w:hAnsi="Times New Roman" w:cs="Times New Roman"/>
          <w:sz w:val="28"/>
          <w:szCs w:val="28"/>
        </w:rPr>
        <w:tab/>
      </w:r>
      <w:r w:rsidR="00640D6E" w:rsidRPr="001B1089">
        <w:rPr>
          <w:rFonts w:ascii="Times New Roman" w:hAnsi="Times New Roman" w:cs="Times New Roman"/>
          <w:sz w:val="28"/>
          <w:szCs w:val="28"/>
        </w:rPr>
        <w:tab/>
      </w:r>
      <w:r w:rsidR="00640D6E" w:rsidRPr="001B1089">
        <w:rPr>
          <w:rFonts w:ascii="Times New Roman" w:hAnsi="Times New Roman" w:cs="Times New Roman"/>
          <w:sz w:val="28"/>
          <w:szCs w:val="28"/>
        </w:rPr>
        <w:tab/>
      </w:r>
      <w:r w:rsidR="00640D6E" w:rsidRPr="001B108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B20C4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2</w:t>
      </w:r>
      <w:r w:rsidR="00410C34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0</w:t>
      </w:r>
      <w:r w:rsidR="00B20C4E" w:rsidRPr="001B1089">
        <w:rPr>
          <w:rFonts w:ascii="Times New Roman" w:eastAsia="Times New Roman" w:hAnsi="Times New Roman" w:cs="Times New Roman"/>
          <w:sz w:val="28"/>
          <w:szCs w:val="24"/>
          <w:lang w:eastAsia="cs-CZ"/>
        </w:rPr>
        <w:t>0 Kč/utkání</w:t>
      </w:r>
    </w:p>
    <w:p w14:paraId="5CA90F83" w14:textId="696F994F" w:rsidR="00C6305D" w:rsidRPr="001B1089" w:rsidRDefault="00C6305D">
      <w:pPr>
        <w:rPr>
          <w:rFonts w:ascii="Times New Roman" w:hAnsi="Times New Roman" w:cs="Times New Roman"/>
          <w:sz w:val="28"/>
        </w:rPr>
      </w:pPr>
      <w:r w:rsidRPr="001B1089">
        <w:rPr>
          <w:rFonts w:ascii="Times New Roman" w:hAnsi="Times New Roman" w:cs="Times New Roman"/>
          <w:sz w:val="28"/>
        </w:rPr>
        <w:t>Tento rozpis žákovské ligy byl schválen Komisí mládeže ČSH dne</w:t>
      </w:r>
      <w:r w:rsidR="006C7E8C" w:rsidRPr="001B1089">
        <w:rPr>
          <w:rFonts w:ascii="Times New Roman" w:hAnsi="Times New Roman" w:cs="Times New Roman"/>
          <w:sz w:val="28"/>
        </w:rPr>
        <w:t xml:space="preserve"> 1.</w:t>
      </w:r>
      <w:r w:rsidR="00F41EBD" w:rsidRPr="001B1089">
        <w:rPr>
          <w:rFonts w:ascii="Times New Roman" w:hAnsi="Times New Roman" w:cs="Times New Roman"/>
          <w:sz w:val="28"/>
        </w:rPr>
        <w:t>7</w:t>
      </w:r>
      <w:r w:rsidR="006C7E8C" w:rsidRPr="001B1089">
        <w:rPr>
          <w:rFonts w:ascii="Times New Roman" w:hAnsi="Times New Roman" w:cs="Times New Roman"/>
          <w:sz w:val="28"/>
        </w:rPr>
        <w:t>.202</w:t>
      </w:r>
      <w:r w:rsidR="00F41EBD" w:rsidRPr="001B1089">
        <w:rPr>
          <w:rFonts w:ascii="Times New Roman" w:hAnsi="Times New Roman" w:cs="Times New Roman"/>
          <w:sz w:val="28"/>
        </w:rPr>
        <w:t>4</w:t>
      </w:r>
    </w:p>
    <w:sectPr w:rsidR="00C6305D" w:rsidRPr="001B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4B122" w14:textId="77777777" w:rsidR="00BE05F9" w:rsidRDefault="00BE05F9" w:rsidP="007E4004">
      <w:pPr>
        <w:spacing w:after="0" w:line="240" w:lineRule="auto"/>
      </w:pPr>
      <w:r>
        <w:separator/>
      </w:r>
    </w:p>
  </w:endnote>
  <w:endnote w:type="continuationSeparator" w:id="0">
    <w:p w14:paraId="5A4BE877" w14:textId="77777777" w:rsidR="00BE05F9" w:rsidRDefault="00BE05F9" w:rsidP="007E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811B2" w14:textId="77777777" w:rsidR="00BE05F9" w:rsidRDefault="00BE05F9" w:rsidP="007E4004">
      <w:pPr>
        <w:spacing w:after="0" w:line="240" w:lineRule="auto"/>
      </w:pPr>
      <w:r>
        <w:separator/>
      </w:r>
    </w:p>
  </w:footnote>
  <w:footnote w:type="continuationSeparator" w:id="0">
    <w:p w14:paraId="6D6EE73F" w14:textId="77777777" w:rsidR="00BE05F9" w:rsidRDefault="00BE05F9" w:rsidP="007E4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371F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51EED"/>
    <w:multiLevelType w:val="hybridMultilevel"/>
    <w:tmpl w:val="1F68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566"/>
    <w:multiLevelType w:val="multilevel"/>
    <w:tmpl w:val="A5EE4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B7C44"/>
    <w:multiLevelType w:val="multilevel"/>
    <w:tmpl w:val="150CB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142B3"/>
    <w:multiLevelType w:val="hybridMultilevel"/>
    <w:tmpl w:val="32C03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B1626"/>
    <w:multiLevelType w:val="multilevel"/>
    <w:tmpl w:val="BBAA16D8"/>
    <w:lvl w:ilvl="0">
      <w:start w:val="5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2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BD7C77"/>
    <w:multiLevelType w:val="multilevel"/>
    <w:tmpl w:val="67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809FB"/>
    <w:multiLevelType w:val="hybridMultilevel"/>
    <w:tmpl w:val="381A9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E155E"/>
    <w:multiLevelType w:val="hybridMultilevel"/>
    <w:tmpl w:val="B27E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C3A03"/>
    <w:multiLevelType w:val="multilevel"/>
    <w:tmpl w:val="7512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8A0FA3"/>
    <w:multiLevelType w:val="hybridMultilevel"/>
    <w:tmpl w:val="6E926FEE"/>
    <w:lvl w:ilvl="0" w:tplc="B1244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063A4"/>
    <w:multiLevelType w:val="hybridMultilevel"/>
    <w:tmpl w:val="4BB86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F3824"/>
    <w:multiLevelType w:val="hybridMultilevel"/>
    <w:tmpl w:val="35A2FF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53AE"/>
    <w:multiLevelType w:val="hybridMultilevel"/>
    <w:tmpl w:val="A75AB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A35C1"/>
    <w:multiLevelType w:val="hybridMultilevel"/>
    <w:tmpl w:val="D23827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F43E54"/>
    <w:multiLevelType w:val="hybridMultilevel"/>
    <w:tmpl w:val="C542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00D76"/>
    <w:multiLevelType w:val="hybridMultilevel"/>
    <w:tmpl w:val="B97EB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59DB"/>
    <w:multiLevelType w:val="hybridMultilevel"/>
    <w:tmpl w:val="698C8E3A"/>
    <w:lvl w:ilvl="0" w:tplc="CC9617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B4013"/>
    <w:multiLevelType w:val="multilevel"/>
    <w:tmpl w:val="A5F67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D3953"/>
    <w:multiLevelType w:val="hybridMultilevel"/>
    <w:tmpl w:val="4DFAE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77C85"/>
    <w:multiLevelType w:val="hybridMultilevel"/>
    <w:tmpl w:val="802A5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E7A4C"/>
    <w:multiLevelType w:val="hybridMultilevel"/>
    <w:tmpl w:val="2EF00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621BB"/>
    <w:multiLevelType w:val="hybridMultilevel"/>
    <w:tmpl w:val="98FC97BA"/>
    <w:lvl w:ilvl="0" w:tplc="72824BF6">
      <w:numFmt w:val="bullet"/>
      <w:lvlText w:val="-"/>
      <w:lvlJc w:val="left"/>
      <w:pPr>
        <w:ind w:left="1203" w:hanging="49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9B11C55"/>
    <w:multiLevelType w:val="hybridMultilevel"/>
    <w:tmpl w:val="638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879AA"/>
    <w:multiLevelType w:val="multilevel"/>
    <w:tmpl w:val="87A6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0C4D5E"/>
    <w:multiLevelType w:val="hybridMultilevel"/>
    <w:tmpl w:val="62140098"/>
    <w:lvl w:ilvl="0" w:tplc="593840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205B5C"/>
    <w:multiLevelType w:val="multilevel"/>
    <w:tmpl w:val="511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9257B3A"/>
    <w:multiLevelType w:val="multilevel"/>
    <w:tmpl w:val="56A8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25B5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56C0131"/>
    <w:multiLevelType w:val="multilevel"/>
    <w:tmpl w:val="A13E47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AB421F"/>
    <w:multiLevelType w:val="multilevel"/>
    <w:tmpl w:val="E0BC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4379461">
    <w:abstractNumId w:val="6"/>
  </w:num>
  <w:num w:numId="2" w16cid:durableId="629899222">
    <w:abstractNumId w:val="18"/>
  </w:num>
  <w:num w:numId="3" w16cid:durableId="159348253">
    <w:abstractNumId w:val="3"/>
  </w:num>
  <w:num w:numId="4" w16cid:durableId="429157262">
    <w:abstractNumId w:val="27"/>
  </w:num>
  <w:num w:numId="5" w16cid:durableId="886453842">
    <w:abstractNumId w:val="29"/>
  </w:num>
  <w:num w:numId="6" w16cid:durableId="2094812194">
    <w:abstractNumId w:val="2"/>
  </w:num>
  <w:num w:numId="7" w16cid:durableId="68816799">
    <w:abstractNumId w:val="30"/>
  </w:num>
  <w:num w:numId="8" w16cid:durableId="287126573">
    <w:abstractNumId w:val="9"/>
  </w:num>
  <w:num w:numId="9" w16cid:durableId="1103955521">
    <w:abstractNumId w:val="26"/>
  </w:num>
  <w:num w:numId="10" w16cid:durableId="638535917">
    <w:abstractNumId w:val="24"/>
  </w:num>
  <w:num w:numId="11" w16cid:durableId="1292597015">
    <w:abstractNumId w:val="25"/>
  </w:num>
  <w:num w:numId="12" w16cid:durableId="1993635197">
    <w:abstractNumId w:val="23"/>
  </w:num>
  <w:num w:numId="13" w16cid:durableId="1302615333">
    <w:abstractNumId w:val="11"/>
  </w:num>
  <w:num w:numId="14" w16cid:durableId="811286002">
    <w:abstractNumId w:val="17"/>
  </w:num>
  <w:num w:numId="15" w16cid:durableId="1351101411">
    <w:abstractNumId w:val="12"/>
  </w:num>
  <w:num w:numId="16" w16cid:durableId="1339428580">
    <w:abstractNumId w:val="21"/>
  </w:num>
  <w:num w:numId="17" w16cid:durableId="550112602">
    <w:abstractNumId w:val="10"/>
  </w:num>
  <w:num w:numId="18" w16cid:durableId="1160148252">
    <w:abstractNumId w:val="19"/>
  </w:num>
  <w:num w:numId="19" w16cid:durableId="1803575618">
    <w:abstractNumId w:val="20"/>
  </w:num>
  <w:num w:numId="20" w16cid:durableId="901253169">
    <w:abstractNumId w:val="7"/>
  </w:num>
  <w:num w:numId="21" w16cid:durableId="1193886827">
    <w:abstractNumId w:val="13"/>
  </w:num>
  <w:num w:numId="22" w16cid:durableId="1869370692">
    <w:abstractNumId w:val="16"/>
  </w:num>
  <w:num w:numId="23" w16cid:durableId="518785008">
    <w:abstractNumId w:val="14"/>
  </w:num>
  <w:num w:numId="24" w16cid:durableId="1451239617">
    <w:abstractNumId w:val="22"/>
  </w:num>
  <w:num w:numId="25" w16cid:durableId="1481966548">
    <w:abstractNumId w:val="8"/>
  </w:num>
  <w:num w:numId="26" w16cid:durableId="867371544">
    <w:abstractNumId w:val="28"/>
  </w:num>
  <w:num w:numId="27" w16cid:durableId="1579703631">
    <w:abstractNumId w:val="5"/>
  </w:num>
  <w:num w:numId="28" w16cid:durableId="1253779659">
    <w:abstractNumId w:val="0"/>
  </w:num>
  <w:num w:numId="29" w16cid:durableId="214588599">
    <w:abstractNumId w:val="15"/>
  </w:num>
  <w:num w:numId="30" w16cid:durableId="859857492">
    <w:abstractNumId w:val="1"/>
  </w:num>
  <w:num w:numId="31" w16cid:durableId="1416785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ECF"/>
    <w:rsid w:val="00032213"/>
    <w:rsid w:val="000455A5"/>
    <w:rsid w:val="00052ED6"/>
    <w:rsid w:val="00052F78"/>
    <w:rsid w:val="0006408B"/>
    <w:rsid w:val="00065738"/>
    <w:rsid w:val="00066EC0"/>
    <w:rsid w:val="00073768"/>
    <w:rsid w:val="00073892"/>
    <w:rsid w:val="00080463"/>
    <w:rsid w:val="00086230"/>
    <w:rsid w:val="00087A71"/>
    <w:rsid w:val="00090F15"/>
    <w:rsid w:val="0009618E"/>
    <w:rsid w:val="000A15BD"/>
    <w:rsid w:val="000A2E7C"/>
    <w:rsid w:val="000A4DDE"/>
    <w:rsid w:val="000A5905"/>
    <w:rsid w:val="000B5323"/>
    <w:rsid w:val="000C25E4"/>
    <w:rsid w:val="000E3DF5"/>
    <w:rsid w:val="00101569"/>
    <w:rsid w:val="0011133B"/>
    <w:rsid w:val="00111769"/>
    <w:rsid w:val="00135018"/>
    <w:rsid w:val="00136A98"/>
    <w:rsid w:val="00141B1D"/>
    <w:rsid w:val="001515BB"/>
    <w:rsid w:val="001657D1"/>
    <w:rsid w:val="00176797"/>
    <w:rsid w:val="00186954"/>
    <w:rsid w:val="00187ECD"/>
    <w:rsid w:val="00191322"/>
    <w:rsid w:val="00192668"/>
    <w:rsid w:val="0019540F"/>
    <w:rsid w:val="001B1089"/>
    <w:rsid w:val="001B1F99"/>
    <w:rsid w:val="001B6741"/>
    <w:rsid w:val="001C31D6"/>
    <w:rsid w:val="001C4DC4"/>
    <w:rsid w:val="001E416C"/>
    <w:rsid w:val="001F4164"/>
    <w:rsid w:val="001F7010"/>
    <w:rsid w:val="0021027E"/>
    <w:rsid w:val="00210A3E"/>
    <w:rsid w:val="00210D77"/>
    <w:rsid w:val="002172BC"/>
    <w:rsid w:val="002203B3"/>
    <w:rsid w:val="002217CF"/>
    <w:rsid w:val="00224849"/>
    <w:rsid w:val="002255DD"/>
    <w:rsid w:val="002322B0"/>
    <w:rsid w:val="002323D3"/>
    <w:rsid w:val="00232B7B"/>
    <w:rsid w:val="00234621"/>
    <w:rsid w:val="00240779"/>
    <w:rsid w:val="00240BB2"/>
    <w:rsid w:val="0024609D"/>
    <w:rsid w:val="00247ECF"/>
    <w:rsid w:val="00252D43"/>
    <w:rsid w:val="00255E8B"/>
    <w:rsid w:val="00262E1A"/>
    <w:rsid w:val="00271369"/>
    <w:rsid w:val="0027318B"/>
    <w:rsid w:val="00273581"/>
    <w:rsid w:val="00283972"/>
    <w:rsid w:val="002859AC"/>
    <w:rsid w:val="00287435"/>
    <w:rsid w:val="00292A99"/>
    <w:rsid w:val="0029646F"/>
    <w:rsid w:val="002A7E7B"/>
    <w:rsid w:val="002A7F2E"/>
    <w:rsid w:val="002C1E12"/>
    <w:rsid w:val="002C246D"/>
    <w:rsid w:val="002C62D2"/>
    <w:rsid w:val="002C7962"/>
    <w:rsid w:val="002E64CD"/>
    <w:rsid w:val="002E6E3B"/>
    <w:rsid w:val="002F2B8C"/>
    <w:rsid w:val="002F3DBA"/>
    <w:rsid w:val="003012BD"/>
    <w:rsid w:val="00307CC6"/>
    <w:rsid w:val="003112E7"/>
    <w:rsid w:val="0031348F"/>
    <w:rsid w:val="00314132"/>
    <w:rsid w:val="00316FA1"/>
    <w:rsid w:val="0033096A"/>
    <w:rsid w:val="00343592"/>
    <w:rsid w:val="00344D8E"/>
    <w:rsid w:val="00347B48"/>
    <w:rsid w:val="00351CA9"/>
    <w:rsid w:val="00351E77"/>
    <w:rsid w:val="00357BB5"/>
    <w:rsid w:val="0036301A"/>
    <w:rsid w:val="0036308C"/>
    <w:rsid w:val="00371424"/>
    <w:rsid w:val="003719DF"/>
    <w:rsid w:val="00371C43"/>
    <w:rsid w:val="00372D79"/>
    <w:rsid w:val="003746BE"/>
    <w:rsid w:val="00380B73"/>
    <w:rsid w:val="00390A22"/>
    <w:rsid w:val="0039193A"/>
    <w:rsid w:val="003B364A"/>
    <w:rsid w:val="003F2B6B"/>
    <w:rsid w:val="003F4E33"/>
    <w:rsid w:val="003F57BC"/>
    <w:rsid w:val="003F5E07"/>
    <w:rsid w:val="003F6895"/>
    <w:rsid w:val="00410C34"/>
    <w:rsid w:val="004438E8"/>
    <w:rsid w:val="00444510"/>
    <w:rsid w:val="00445C4A"/>
    <w:rsid w:val="00445DD0"/>
    <w:rsid w:val="00447BBF"/>
    <w:rsid w:val="004523A9"/>
    <w:rsid w:val="00456F31"/>
    <w:rsid w:val="00457A9A"/>
    <w:rsid w:val="00460A3E"/>
    <w:rsid w:val="0046779C"/>
    <w:rsid w:val="004748C9"/>
    <w:rsid w:val="004749CC"/>
    <w:rsid w:val="00474A80"/>
    <w:rsid w:val="00477C90"/>
    <w:rsid w:val="004830EA"/>
    <w:rsid w:val="00485F0D"/>
    <w:rsid w:val="00494E7F"/>
    <w:rsid w:val="004A1E59"/>
    <w:rsid w:val="004C039C"/>
    <w:rsid w:val="004C0F5E"/>
    <w:rsid w:val="004C2C2F"/>
    <w:rsid w:val="004E4FD5"/>
    <w:rsid w:val="004F3274"/>
    <w:rsid w:val="004F5A26"/>
    <w:rsid w:val="004F7BB9"/>
    <w:rsid w:val="00505AAE"/>
    <w:rsid w:val="00516AFF"/>
    <w:rsid w:val="00520CB3"/>
    <w:rsid w:val="0053268A"/>
    <w:rsid w:val="005401B1"/>
    <w:rsid w:val="00547773"/>
    <w:rsid w:val="00563712"/>
    <w:rsid w:val="00564892"/>
    <w:rsid w:val="005670E9"/>
    <w:rsid w:val="00567992"/>
    <w:rsid w:val="00567F54"/>
    <w:rsid w:val="00571CCE"/>
    <w:rsid w:val="005779FE"/>
    <w:rsid w:val="00583372"/>
    <w:rsid w:val="0058491A"/>
    <w:rsid w:val="0058748E"/>
    <w:rsid w:val="005910DC"/>
    <w:rsid w:val="00592159"/>
    <w:rsid w:val="00595C52"/>
    <w:rsid w:val="005B403E"/>
    <w:rsid w:val="005B6420"/>
    <w:rsid w:val="005B67A2"/>
    <w:rsid w:val="005C198A"/>
    <w:rsid w:val="005E03BC"/>
    <w:rsid w:val="005E1457"/>
    <w:rsid w:val="005E1850"/>
    <w:rsid w:val="005E7CF1"/>
    <w:rsid w:val="005F2F83"/>
    <w:rsid w:val="005F3C53"/>
    <w:rsid w:val="005F5177"/>
    <w:rsid w:val="005F7E0E"/>
    <w:rsid w:val="00604396"/>
    <w:rsid w:val="00605222"/>
    <w:rsid w:val="00614452"/>
    <w:rsid w:val="00615CF3"/>
    <w:rsid w:val="0062657B"/>
    <w:rsid w:val="00634322"/>
    <w:rsid w:val="006363B2"/>
    <w:rsid w:val="00640D6E"/>
    <w:rsid w:val="0064159A"/>
    <w:rsid w:val="00663C22"/>
    <w:rsid w:val="00667094"/>
    <w:rsid w:val="0066775D"/>
    <w:rsid w:val="00672D83"/>
    <w:rsid w:val="00673694"/>
    <w:rsid w:val="00684DFE"/>
    <w:rsid w:val="00685363"/>
    <w:rsid w:val="006A3B5B"/>
    <w:rsid w:val="006A3D83"/>
    <w:rsid w:val="006A3DAE"/>
    <w:rsid w:val="006A6032"/>
    <w:rsid w:val="006B629D"/>
    <w:rsid w:val="006C165F"/>
    <w:rsid w:val="006C4962"/>
    <w:rsid w:val="006C71AA"/>
    <w:rsid w:val="006C7E8C"/>
    <w:rsid w:val="006D5AD4"/>
    <w:rsid w:val="006E59EE"/>
    <w:rsid w:val="006F5464"/>
    <w:rsid w:val="006F7418"/>
    <w:rsid w:val="0070363D"/>
    <w:rsid w:val="0070376D"/>
    <w:rsid w:val="00710189"/>
    <w:rsid w:val="007219D8"/>
    <w:rsid w:val="00727DCD"/>
    <w:rsid w:val="0073347D"/>
    <w:rsid w:val="007479C2"/>
    <w:rsid w:val="00751DBA"/>
    <w:rsid w:val="00756812"/>
    <w:rsid w:val="00764C13"/>
    <w:rsid w:val="007658C1"/>
    <w:rsid w:val="00774A47"/>
    <w:rsid w:val="00774D96"/>
    <w:rsid w:val="007770D8"/>
    <w:rsid w:val="007806FA"/>
    <w:rsid w:val="007821B7"/>
    <w:rsid w:val="007914FE"/>
    <w:rsid w:val="00794250"/>
    <w:rsid w:val="007A423F"/>
    <w:rsid w:val="007B5FCC"/>
    <w:rsid w:val="007C0537"/>
    <w:rsid w:val="007C0BD7"/>
    <w:rsid w:val="007D00BA"/>
    <w:rsid w:val="007D0730"/>
    <w:rsid w:val="007D3F8B"/>
    <w:rsid w:val="007D40E6"/>
    <w:rsid w:val="007D4827"/>
    <w:rsid w:val="007E0519"/>
    <w:rsid w:val="007E4004"/>
    <w:rsid w:val="007F114D"/>
    <w:rsid w:val="007F345F"/>
    <w:rsid w:val="007F395C"/>
    <w:rsid w:val="007F6580"/>
    <w:rsid w:val="00801222"/>
    <w:rsid w:val="00803BA3"/>
    <w:rsid w:val="008072B3"/>
    <w:rsid w:val="00813473"/>
    <w:rsid w:val="0081550E"/>
    <w:rsid w:val="00816398"/>
    <w:rsid w:val="00821EBD"/>
    <w:rsid w:val="00831EA8"/>
    <w:rsid w:val="008350DB"/>
    <w:rsid w:val="00844B6C"/>
    <w:rsid w:val="00847590"/>
    <w:rsid w:val="00850F92"/>
    <w:rsid w:val="008606EA"/>
    <w:rsid w:val="00861BCF"/>
    <w:rsid w:val="00862A7A"/>
    <w:rsid w:val="008646BA"/>
    <w:rsid w:val="008676EC"/>
    <w:rsid w:val="00871C22"/>
    <w:rsid w:val="00876DD1"/>
    <w:rsid w:val="00882718"/>
    <w:rsid w:val="008944D0"/>
    <w:rsid w:val="008954C3"/>
    <w:rsid w:val="008973AA"/>
    <w:rsid w:val="008A37B0"/>
    <w:rsid w:val="008A3F7E"/>
    <w:rsid w:val="008B28A6"/>
    <w:rsid w:val="008B754B"/>
    <w:rsid w:val="008C51EE"/>
    <w:rsid w:val="008D0400"/>
    <w:rsid w:val="008E0CA0"/>
    <w:rsid w:val="008E6427"/>
    <w:rsid w:val="008E79D6"/>
    <w:rsid w:val="00913465"/>
    <w:rsid w:val="009151E8"/>
    <w:rsid w:val="0091594B"/>
    <w:rsid w:val="00917231"/>
    <w:rsid w:val="00920BA7"/>
    <w:rsid w:val="00920FCF"/>
    <w:rsid w:val="00932ED8"/>
    <w:rsid w:val="009354E7"/>
    <w:rsid w:val="009361F2"/>
    <w:rsid w:val="00937957"/>
    <w:rsid w:val="00937C7A"/>
    <w:rsid w:val="00944549"/>
    <w:rsid w:val="00954240"/>
    <w:rsid w:val="00954B2B"/>
    <w:rsid w:val="00955799"/>
    <w:rsid w:val="00967B59"/>
    <w:rsid w:val="00970281"/>
    <w:rsid w:val="00972DA1"/>
    <w:rsid w:val="00975B83"/>
    <w:rsid w:val="009801C6"/>
    <w:rsid w:val="009926C0"/>
    <w:rsid w:val="009A5399"/>
    <w:rsid w:val="009A751A"/>
    <w:rsid w:val="009B37BA"/>
    <w:rsid w:val="009C4DB7"/>
    <w:rsid w:val="009D0C2F"/>
    <w:rsid w:val="009F1351"/>
    <w:rsid w:val="009F13E0"/>
    <w:rsid w:val="009F1EB0"/>
    <w:rsid w:val="00A02593"/>
    <w:rsid w:val="00A10B8C"/>
    <w:rsid w:val="00A11DC8"/>
    <w:rsid w:val="00A23037"/>
    <w:rsid w:val="00A25146"/>
    <w:rsid w:val="00A26CA1"/>
    <w:rsid w:val="00A30653"/>
    <w:rsid w:val="00A34502"/>
    <w:rsid w:val="00A364D2"/>
    <w:rsid w:val="00A431CF"/>
    <w:rsid w:val="00A47953"/>
    <w:rsid w:val="00A524A1"/>
    <w:rsid w:val="00A56D84"/>
    <w:rsid w:val="00A64292"/>
    <w:rsid w:val="00A750C0"/>
    <w:rsid w:val="00A97FDB"/>
    <w:rsid w:val="00AA134A"/>
    <w:rsid w:val="00AA2D19"/>
    <w:rsid w:val="00AB1CA7"/>
    <w:rsid w:val="00AC362F"/>
    <w:rsid w:val="00AD6703"/>
    <w:rsid w:val="00AF44BC"/>
    <w:rsid w:val="00B05F6A"/>
    <w:rsid w:val="00B10C97"/>
    <w:rsid w:val="00B13634"/>
    <w:rsid w:val="00B14121"/>
    <w:rsid w:val="00B15446"/>
    <w:rsid w:val="00B1621F"/>
    <w:rsid w:val="00B20012"/>
    <w:rsid w:val="00B20C4E"/>
    <w:rsid w:val="00B20D48"/>
    <w:rsid w:val="00B428B2"/>
    <w:rsid w:val="00B44AF5"/>
    <w:rsid w:val="00B47096"/>
    <w:rsid w:val="00B53FF4"/>
    <w:rsid w:val="00B645CA"/>
    <w:rsid w:val="00B663E6"/>
    <w:rsid w:val="00B66B37"/>
    <w:rsid w:val="00B82D7D"/>
    <w:rsid w:val="00B906F1"/>
    <w:rsid w:val="00B96122"/>
    <w:rsid w:val="00BB1055"/>
    <w:rsid w:val="00BB3956"/>
    <w:rsid w:val="00BC1E09"/>
    <w:rsid w:val="00BD37CE"/>
    <w:rsid w:val="00BE05F9"/>
    <w:rsid w:val="00BF3CBF"/>
    <w:rsid w:val="00C03C9C"/>
    <w:rsid w:val="00C04B7E"/>
    <w:rsid w:val="00C223AF"/>
    <w:rsid w:val="00C2347D"/>
    <w:rsid w:val="00C26129"/>
    <w:rsid w:val="00C3137E"/>
    <w:rsid w:val="00C31ACD"/>
    <w:rsid w:val="00C320F2"/>
    <w:rsid w:val="00C3271C"/>
    <w:rsid w:val="00C4025C"/>
    <w:rsid w:val="00C43510"/>
    <w:rsid w:val="00C43F2F"/>
    <w:rsid w:val="00C44128"/>
    <w:rsid w:val="00C575FF"/>
    <w:rsid w:val="00C602D3"/>
    <w:rsid w:val="00C6305D"/>
    <w:rsid w:val="00C72F5A"/>
    <w:rsid w:val="00C7392C"/>
    <w:rsid w:val="00C74385"/>
    <w:rsid w:val="00C93615"/>
    <w:rsid w:val="00CA26DF"/>
    <w:rsid w:val="00CB0A64"/>
    <w:rsid w:val="00CB1DDA"/>
    <w:rsid w:val="00CC2D65"/>
    <w:rsid w:val="00CC4C9F"/>
    <w:rsid w:val="00CC6AA6"/>
    <w:rsid w:val="00CD213D"/>
    <w:rsid w:val="00CD2607"/>
    <w:rsid w:val="00CD5120"/>
    <w:rsid w:val="00CF0744"/>
    <w:rsid w:val="00CF388D"/>
    <w:rsid w:val="00CF477E"/>
    <w:rsid w:val="00D00EBF"/>
    <w:rsid w:val="00D02C0E"/>
    <w:rsid w:val="00D1077F"/>
    <w:rsid w:val="00D14114"/>
    <w:rsid w:val="00D15A54"/>
    <w:rsid w:val="00D31C49"/>
    <w:rsid w:val="00D33BB6"/>
    <w:rsid w:val="00D3557F"/>
    <w:rsid w:val="00D41499"/>
    <w:rsid w:val="00D465FD"/>
    <w:rsid w:val="00D54085"/>
    <w:rsid w:val="00D5527A"/>
    <w:rsid w:val="00D6380D"/>
    <w:rsid w:val="00D77E26"/>
    <w:rsid w:val="00D95CDC"/>
    <w:rsid w:val="00DB15EE"/>
    <w:rsid w:val="00DB6F13"/>
    <w:rsid w:val="00DB73D6"/>
    <w:rsid w:val="00DC0856"/>
    <w:rsid w:val="00DD78F5"/>
    <w:rsid w:val="00DE2773"/>
    <w:rsid w:val="00DE48D0"/>
    <w:rsid w:val="00DF1F9E"/>
    <w:rsid w:val="00E00824"/>
    <w:rsid w:val="00E01A42"/>
    <w:rsid w:val="00E05C9A"/>
    <w:rsid w:val="00E107F9"/>
    <w:rsid w:val="00E27EC9"/>
    <w:rsid w:val="00E3301A"/>
    <w:rsid w:val="00E45A7F"/>
    <w:rsid w:val="00E52C90"/>
    <w:rsid w:val="00E62D06"/>
    <w:rsid w:val="00E712C1"/>
    <w:rsid w:val="00E76084"/>
    <w:rsid w:val="00E83187"/>
    <w:rsid w:val="00E86BDA"/>
    <w:rsid w:val="00E915FA"/>
    <w:rsid w:val="00E92186"/>
    <w:rsid w:val="00E9773A"/>
    <w:rsid w:val="00EA3AD6"/>
    <w:rsid w:val="00EA5E2C"/>
    <w:rsid w:val="00EA7074"/>
    <w:rsid w:val="00EB3D16"/>
    <w:rsid w:val="00EB5847"/>
    <w:rsid w:val="00EB719F"/>
    <w:rsid w:val="00EB75CC"/>
    <w:rsid w:val="00EC5B22"/>
    <w:rsid w:val="00EC7A87"/>
    <w:rsid w:val="00ED2CB5"/>
    <w:rsid w:val="00ED6A92"/>
    <w:rsid w:val="00ED75D3"/>
    <w:rsid w:val="00EE387B"/>
    <w:rsid w:val="00EE435E"/>
    <w:rsid w:val="00EF39B7"/>
    <w:rsid w:val="00EF4C51"/>
    <w:rsid w:val="00F017B3"/>
    <w:rsid w:val="00F12102"/>
    <w:rsid w:val="00F133FE"/>
    <w:rsid w:val="00F2752B"/>
    <w:rsid w:val="00F31AEC"/>
    <w:rsid w:val="00F34106"/>
    <w:rsid w:val="00F37B96"/>
    <w:rsid w:val="00F408BE"/>
    <w:rsid w:val="00F418FB"/>
    <w:rsid w:val="00F41EBD"/>
    <w:rsid w:val="00F4404A"/>
    <w:rsid w:val="00F5136F"/>
    <w:rsid w:val="00F52E61"/>
    <w:rsid w:val="00F555D8"/>
    <w:rsid w:val="00F62093"/>
    <w:rsid w:val="00F62195"/>
    <w:rsid w:val="00F62B1E"/>
    <w:rsid w:val="00F67AB7"/>
    <w:rsid w:val="00F7702F"/>
    <w:rsid w:val="00F85C1E"/>
    <w:rsid w:val="00F902D8"/>
    <w:rsid w:val="00F91B8B"/>
    <w:rsid w:val="00F9324F"/>
    <w:rsid w:val="00F93C07"/>
    <w:rsid w:val="00FA074E"/>
    <w:rsid w:val="00FA19D8"/>
    <w:rsid w:val="00FB3078"/>
    <w:rsid w:val="00FB379E"/>
    <w:rsid w:val="00FB44CD"/>
    <w:rsid w:val="00FC2864"/>
    <w:rsid w:val="00FC2A0F"/>
    <w:rsid w:val="00FC3877"/>
    <w:rsid w:val="00FC4D7C"/>
    <w:rsid w:val="00FC5BCD"/>
    <w:rsid w:val="00FD5130"/>
    <w:rsid w:val="00FE09DA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B4EA"/>
  <w15:chartTrackingRefBased/>
  <w15:docId w15:val="{DE746A27-A3F7-4593-8B63-4DF0621E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7EC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F7E0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64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004"/>
  </w:style>
  <w:style w:type="paragraph" w:styleId="Zpat">
    <w:name w:val="footer"/>
    <w:basedOn w:val="Normln"/>
    <w:link w:val="ZpatChar"/>
    <w:uiPriority w:val="99"/>
    <w:unhideWhenUsed/>
    <w:rsid w:val="007E4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004"/>
  </w:style>
  <w:style w:type="character" w:styleId="Siln">
    <w:name w:val="Strong"/>
    <w:basedOn w:val="Standardnpsmoodstavce"/>
    <w:uiPriority w:val="22"/>
    <w:qFormat/>
    <w:rsid w:val="0084759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24849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614452"/>
  </w:style>
  <w:style w:type="character" w:styleId="Odkaznakoment">
    <w:name w:val="annotation reference"/>
    <w:basedOn w:val="Standardnpsmoodstavce"/>
    <w:uiPriority w:val="99"/>
    <w:semiHidden/>
    <w:unhideWhenUsed/>
    <w:rsid w:val="00467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77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77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79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A37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skera@handball.cz" TargetMode="External"/><Relationship Id="rId18" Type="http://schemas.openxmlformats.org/officeDocument/2006/relationships/hyperlink" Target="mailto:zych@handball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andball.cz/aktualita/zakovskaliga" TargetMode="External"/><Relationship Id="rId17" Type="http://schemas.openxmlformats.org/officeDocument/2006/relationships/hyperlink" Target="mailto:zych@handbal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skera@handball.cz" TargetMode="External"/><Relationship Id="rId20" Type="http://schemas.openxmlformats.org/officeDocument/2006/relationships/hyperlink" Target="mailto:oskera@handball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kera@handball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oskera@handball.cz" TargetMode="External"/><Relationship Id="rId19" Type="http://schemas.openxmlformats.org/officeDocument/2006/relationships/hyperlink" Target="mailto:oskera@handbal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kera@handball.cz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38DF-DC7F-400D-8278-E1D239E3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5331</Words>
  <Characters>31454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Matěj Oškera</cp:lastModifiedBy>
  <cp:revision>35</cp:revision>
  <dcterms:created xsi:type="dcterms:W3CDTF">2024-05-15T08:19:00Z</dcterms:created>
  <dcterms:modified xsi:type="dcterms:W3CDTF">2024-11-04T13:10:00Z</dcterms:modified>
</cp:coreProperties>
</file>